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B6" w:rsidRPr="00B63800" w:rsidRDefault="00A058FD" w:rsidP="003254B6">
      <w:pPr>
        <w:jc w:val="center"/>
        <w:rPr>
          <w:sz w:val="28"/>
          <w:u w:val="single"/>
        </w:rPr>
      </w:pPr>
      <w:r>
        <w:rPr>
          <w:noProof/>
          <w:sz w:val="28"/>
          <w:u w:val="single"/>
        </w:rPr>
        <w:drawing>
          <wp:anchor distT="0" distB="0" distL="114300" distR="114300" simplePos="0" relativeHeight="251657216" behindDoc="1" locked="0" layoutInCell="1" allowOverlap="1">
            <wp:simplePos x="0" y="0"/>
            <wp:positionH relativeFrom="column">
              <wp:posOffset>2266950</wp:posOffset>
            </wp:positionH>
            <wp:positionV relativeFrom="paragraph">
              <wp:posOffset>-325755</wp:posOffset>
            </wp:positionV>
            <wp:extent cx="2265045" cy="677545"/>
            <wp:effectExtent l="19050" t="0" r="1905" b="0"/>
            <wp:wrapTight wrapText="bothSides">
              <wp:wrapPolygon edited="0">
                <wp:start x="-182" y="0"/>
                <wp:lineTo x="-182" y="21256"/>
                <wp:lineTo x="21618" y="21256"/>
                <wp:lineTo x="21618" y="0"/>
                <wp:lineTo x="-182" y="0"/>
              </wp:wrapPolygon>
            </wp:wrapTight>
            <wp:docPr id="2" name="Picture 2" descr="HS Redesign 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Redesign sm logo"/>
                    <pic:cNvPicPr>
                      <a:picLocks noChangeAspect="1" noChangeArrowheads="1"/>
                    </pic:cNvPicPr>
                  </pic:nvPicPr>
                  <pic:blipFill>
                    <a:blip r:embed="rId8" cstate="print"/>
                    <a:srcRect/>
                    <a:stretch>
                      <a:fillRect/>
                    </a:stretch>
                  </pic:blipFill>
                  <pic:spPr bwMode="auto">
                    <a:xfrm>
                      <a:off x="0" y="0"/>
                      <a:ext cx="2265045" cy="677545"/>
                    </a:xfrm>
                    <a:prstGeom prst="rect">
                      <a:avLst/>
                    </a:prstGeom>
                    <a:noFill/>
                  </pic:spPr>
                </pic:pic>
              </a:graphicData>
            </a:graphic>
          </wp:anchor>
        </w:drawing>
      </w:r>
    </w:p>
    <w:p w:rsidR="00BD7459" w:rsidRPr="00B63800" w:rsidRDefault="00BD7459" w:rsidP="003254B6">
      <w:pPr>
        <w:jc w:val="center"/>
        <w:rPr>
          <w:i/>
          <w:sz w:val="36"/>
          <w:szCs w:val="32"/>
          <w:u w:val="single"/>
        </w:rPr>
      </w:pPr>
    </w:p>
    <w:p w:rsidR="00B63800" w:rsidRDefault="00B63800" w:rsidP="00F434B2">
      <w:pPr>
        <w:jc w:val="center"/>
        <w:rPr>
          <w:b/>
          <w:i/>
        </w:rPr>
      </w:pPr>
      <w:r w:rsidRPr="00B63800">
        <w:rPr>
          <w:b/>
          <w:i/>
          <w:sz w:val="28"/>
          <w:u w:val="single"/>
        </w:rPr>
        <w:t xml:space="preserve">Meeting </w:t>
      </w:r>
      <w:r w:rsidR="008E51AC">
        <w:rPr>
          <w:b/>
          <w:i/>
          <w:sz w:val="28"/>
          <w:u w:val="single"/>
        </w:rPr>
        <w:t>Summary</w:t>
      </w:r>
    </w:p>
    <w:p w:rsidR="003254B6" w:rsidRPr="0089253B" w:rsidRDefault="007F3DB6" w:rsidP="00F434B2">
      <w:pPr>
        <w:jc w:val="center"/>
        <w:rPr>
          <w:b/>
          <w:i/>
        </w:rPr>
      </w:pPr>
      <w:r>
        <w:rPr>
          <w:b/>
          <w:i/>
        </w:rPr>
        <w:t xml:space="preserve">Monday, </w:t>
      </w:r>
      <w:r w:rsidR="00C864BA">
        <w:rPr>
          <w:b/>
          <w:i/>
        </w:rPr>
        <w:t>March 28</w:t>
      </w:r>
      <w:r w:rsidR="00C864BA" w:rsidRPr="00C864BA">
        <w:rPr>
          <w:b/>
          <w:i/>
          <w:vertAlign w:val="superscript"/>
        </w:rPr>
        <w:t>th</w:t>
      </w:r>
      <w:r w:rsidR="00C864BA">
        <w:rPr>
          <w:b/>
          <w:i/>
        </w:rPr>
        <w:t xml:space="preserve">, </w:t>
      </w:r>
      <w:r w:rsidR="00E7427D" w:rsidRPr="0089253B">
        <w:rPr>
          <w:b/>
          <w:i/>
        </w:rPr>
        <w:t>20</w:t>
      </w:r>
      <w:r>
        <w:rPr>
          <w:b/>
          <w:i/>
        </w:rPr>
        <w:t>1</w:t>
      </w:r>
      <w:r w:rsidR="00C864BA">
        <w:rPr>
          <w:b/>
          <w:i/>
        </w:rPr>
        <w:t>1</w:t>
      </w:r>
    </w:p>
    <w:p w:rsidR="00DD2CB1" w:rsidRDefault="00D12054" w:rsidP="00F434B2">
      <w:pPr>
        <w:jc w:val="center"/>
        <w:rPr>
          <w:b/>
          <w:i/>
        </w:rPr>
      </w:pPr>
      <w:r>
        <w:rPr>
          <w:b/>
          <w:i/>
        </w:rPr>
        <w:t>9:00 a</w:t>
      </w:r>
      <w:r w:rsidR="00893F99">
        <w:rPr>
          <w:b/>
          <w:i/>
        </w:rPr>
        <w:t>.m.</w:t>
      </w:r>
      <w:r w:rsidR="00757B00">
        <w:rPr>
          <w:b/>
          <w:i/>
        </w:rPr>
        <w:t xml:space="preserve"> – </w:t>
      </w:r>
      <w:r>
        <w:rPr>
          <w:b/>
          <w:i/>
        </w:rPr>
        <w:t>12</w:t>
      </w:r>
      <w:r w:rsidR="00893F99">
        <w:rPr>
          <w:b/>
          <w:i/>
        </w:rPr>
        <w:t>:</w:t>
      </w:r>
      <w:r w:rsidR="00D9375C">
        <w:rPr>
          <w:b/>
          <w:i/>
        </w:rPr>
        <w:t>0</w:t>
      </w:r>
      <w:r w:rsidR="00893F99">
        <w:rPr>
          <w:b/>
          <w:i/>
        </w:rPr>
        <w:t>0</w:t>
      </w:r>
      <w:r w:rsidR="00757B00">
        <w:rPr>
          <w:b/>
          <w:i/>
        </w:rPr>
        <w:t xml:space="preserve"> p.m.</w:t>
      </w:r>
    </w:p>
    <w:p w:rsidR="00F434B2" w:rsidRPr="006E6027" w:rsidRDefault="00F434B2" w:rsidP="006E6027">
      <w:pPr>
        <w:pStyle w:val="Heading2"/>
        <w:jc w:val="left"/>
        <w:rPr>
          <w:sz w:val="28"/>
          <w:szCs w:val="28"/>
        </w:rPr>
      </w:pPr>
    </w:p>
    <w:p w:rsidR="00C864BA" w:rsidRDefault="00B702CE" w:rsidP="00C864BA">
      <w:pPr>
        <w:pStyle w:val="NormalWeb"/>
        <w:shd w:val="clear" w:color="auto" w:fill="FFFFFF"/>
        <w:spacing w:before="0" w:after="0"/>
        <w:ind w:left="2610" w:hanging="2610"/>
      </w:pPr>
      <w:r w:rsidRPr="00993F56">
        <w:rPr>
          <w:b/>
        </w:rPr>
        <w:t>Meeting Objectives:</w:t>
      </w:r>
      <w:r w:rsidR="007E0C72">
        <w:t xml:space="preserve">  </w:t>
      </w:r>
      <w:r w:rsidR="00C864BA">
        <w:rPr>
          <w:i/>
        </w:rPr>
        <w:t>Align CCR and HSR Commission Goals to DOE Critical Goals</w:t>
      </w:r>
    </w:p>
    <w:p w:rsidR="00C864BA" w:rsidRDefault="00C864BA" w:rsidP="00C864BA">
      <w:pPr>
        <w:pStyle w:val="NormalWeb"/>
        <w:shd w:val="clear" w:color="auto" w:fill="FFFFFF"/>
        <w:spacing w:before="0" w:after="0"/>
        <w:ind w:left="2160"/>
        <w:rPr>
          <w:i/>
        </w:rPr>
      </w:pPr>
      <w:r>
        <w:rPr>
          <w:i/>
        </w:rPr>
        <w:t>Provide updates on Credit Recovery, Du</w:t>
      </w:r>
      <w:r w:rsidR="00D71445">
        <w:rPr>
          <w:i/>
        </w:rPr>
        <w:t>al Enrollment/</w:t>
      </w:r>
      <w:r>
        <w:rPr>
          <w:i/>
        </w:rPr>
        <w:t>Articulated Credit</w:t>
      </w:r>
    </w:p>
    <w:p w:rsidR="00C864BA" w:rsidRDefault="00C864BA" w:rsidP="00C864BA">
      <w:pPr>
        <w:pStyle w:val="NormalWeb"/>
        <w:shd w:val="clear" w:color="auto" w:fill="FFFFFF"/>
        <w:spacing w:before="0" w:after="0"/>
        <w:ind w:left="2160"/>
        <w:rPr>
          <w:i/>
        </w:rPr>
      </w:pPr>
      <w:r>
        <w:rPr>
          <w:i/>
        </w:rPr>
        <w:t>Provide update on Common Core Standards and Assessments</w:t>
      </w:r>
    </w:p>
    <w:p w:rsidR="00C864BA" w:rsidRDefault="00D71445" w:rsidP="00C864BA">
      <w:pPr>
        <w:pStyle w:val="NormalWeb"/>
        <w:shd w:val="clear" w:color="auto" w:fill="FFFFFF"/>
        <w:spacing w:before="0" w:after="0"/>
        <w:ind w:left="2160"/>
        <w:rPr>
          <w:i/>
        </w:rPr>
      </w:pPr>
      <w:r>
        <w:rPr>
          <w:i/>
        </w:rPr>
        <w:t>Introduction of Recently Approved Seat Time Policy</w:t>
      </w:r>
    </w:p>
    <w:p w:rsidR="006577B3" w:rsidRPr="00993F56" w:rsidRDefault="00C864BA" w:rsidP="00C864BA">
      <w:pPr>
        <w:pStyle w:val="NormalWeb"/>
        <w:shd w:val="clear" w:color="auto" w:fill="FFFFFF"/>
        <w:spacing w:before="0" w:after="0"/>
        <w:rPr>
          <w:i/>
        </w:rPr>
      </w:pPr>
      <w:r>
        <w:rPr>
          <w:i/>
        </w:rPr>
        <w:tab/>
      </w:r>
      <w:r>
        <w:rPr>
          <w:i/>
        </w:rPr>
        <w:tab/>
      </w:r>
      <w:r>
        <w:rPr>
          <w:i/>
        </w:rPr>
        <w:tab/>
        <w:t>Delivery Update</w:t>
      </w:r>
      <w:r w:rsidR="00D71445">
        <w:rPr>
          <w:i/>
        </w:rPr>
        <w:t xml:space="preserve"> (HS Graduation and College First Time Freshmen Rates)</w:t>
      </w:r>
    </w:p>
    <w:p w:rsidR="006577B3" w:rsidRDefault="00842A68" w:rsidP="00790E46">
      <w:pPr>
        <w:rPr>
          <w:b/>
        </w:rPr>
      </w:pPr>
      <w:r>
        <w:rPr>
          <w:b/>
          <w:noProof/>
        </w:rPr>
        <w:pict>
          <v:line id="_x0000_s1027" style="position:absolute;z-index:251658240" from="2.4pt,5.1pt" to="494.4pt,5.1pt" strokeweight="4pt">
            <v:stroke linestyle="thickBetweenThin"/>
          </v:line>
        </w:pict>
      </w:r>
    </w:p>
    <w:p w:rsidR="006E6027" w:rsidRDefault="00762556" w:rsidP="006E6027">
      <w:r>
        <w:t>C</w:t>
      </w:r>
      <w:r w:rsidR="006E6027" w:rsidRPr="00BF77AF">
        <w:t>ommissioners/</w:t>
      </w:r>
      <w:r w:rsidR="00A80D05">
        <w:t>P</w:t>
      </w:r>
      <w:r w:rsidR="006E6027" w:rsidRPr="00BF77AF">
        <w:t>roxies</w:t>
      </w:r>
      <w:r>
        <w:t xml:space="preserve"> </w:t>
      </w:r>
      <w:r w:rsidR="00A80D05">
        <w:t>A</w:t>
      </w:r>
      <w:r>
        <w:t>ttending</w:t>
      </w:r>
      <w:r w:rsidR="006E6027" w:rsidRPr="00BF77AF">
        <w:t>:</w:t>
      </w:r>
      <w:r w:rsidR="00BF77AF" w:rsidRPr="00BF77AF">
        <w:t xml:space="preserve"> </w:t>
      </w:r>
      <w:r w:rsidR="00E81BD9">
        <w:t xml:space="preserve">Troy Allen, Pat Deaville for Dale Bayard, </w:t>
      </w:r>
      <w:r w:rsidR="00C864BA">
        <w:t>Connie Bradford</w:t>
      </w:r>
      <w:r w:rsidR="00E81BD9">
        <w:t xml:space="preserve">, David Clayton, Christina Cohea, Sharon Southall for Jim Purcell, </w:t>
      </w:r>
      <w:r w:rsidR="00C864BA">
        <w:t>Stephanie Desselle</w:t>
      </w:r>
      <w:r w:rsidR="00E81BD9">
        <w:t>, Michael Faulk, Wayne Fet</w:t>
      </w:r>
      <w:r w:rsidR="007C1584">
        <w:t>ter, Pauline Fleming, Valerie Ay</w:t>
      </w:r>
      <w:r w:rsidR="00E81BD9">
        <w:t>mond for Randy Gilchrist, Melissa Grimmett, Janet Hiatt, Dawn Jacobi, Linda Johnson, Jim Randels, Eddie Rispone, Monica Wertz</w:t>
      </w:r>
      <w:r w:rsidR="00025ECC">
        <w:t>, and Ann Smith</w:t>
      </w:r>
    </w:p>
    <w:p w:rsidR="00C864BA" w:rsidRPr="00BF77AF" w:rsidRDefault="00C864BA" w:rsidP="006E6027"/>
    <w:p w:rsidR="004445F6" w:rsidRPr="00A93D8D" w:rsidRDefault="00762556" w:rsidP="004445F6">
      <w:r>
        <w:t xml:space="preserve">Commissioners </w:t>
      </w:r>
      <w:r w:rsidR="00A80D05">
        <w:t>N</w:t>
      </w:r>
      <w:r>
        <w:t xml:space="preserve">ot </w:t>
      </w:r>
      <w:r w:rsidR="00A80D05">
        <w:t>A</w:t>
      </w:r>
      <w:r>
        <w:t>ttending:</w:t>
      </w:r>
      <w:r w:rsidR="00C864BA">
        <w:t xml:space="preserve"> Austin Badon,</w:t>
      </w:r>
      <w:r w:rsidR="00A34705">
        <w:t xml:space="preserve"> </w:t>
      </w:r>
      <w:r w:rsidR="00E81BD9">
        <w:t>James Brandt, Glenny Lee Buquet, Kathy D’Al</w:t>
      </w:r>
      <w:r w:rsidR="00A80D05">
        <w:t>BOR</w:t>
      </w:r>
      <w:r w:rsidR="00E81BD9">
        <w:t xml:space="preserve">, Carroll Daniels, Catherine Davis, Kimberlee Gazzolo, Timmy Jones, Ruth King, Mary Livers, Randy Moffet, Ben Nevers, Brigette Nieland, Paul Pastorek, Larry Patrick, Jerry Pinsel, Elvin Pradia, Louis Reine, Wayne Savoy, Donald Songy, </w:t>
      </w:r>
      <w:r w:rsidR="00025ECC">
        <w:t xml:space="preserve">and </w:t>
      </w:r>
      <w:r w:rsidR="00E81BD9">
        <w:t>Roland Toups</w:t>
      </w:r>
    </w:p>
    <w:p w:rsidR="00E12466" w:rsidRPr="00993F56" w:rsidRDefault="00E12466" w:rsidP="00F434B2">
      <w:pPr>
        <w:rPr>
          <w:b/>
        </w:rPr>
      </w:pPr>
    </w:p>
    <w:p w:rsidR="003254B6" w:rsidRDefault="00191DFC" w:rsidP="00F434B2">
      <w:pPr>
        <w:rPr>
          <w:b/>
        </w:rPr>
      </w:pPr>
      <w:r>
        <w:rPr>
          <w:b/>
        </w:rPr>
        <w:t>The Commission meeting commenced at 9:05 a.m. with greetings and introductions by:</w:t>
      </w:r>
      <w:r w:rsidR="003254B6" w:rsidRPr="00993F56">
        <w:rPr>
          <w:b/>
        </w:rPr>
        <w:t xml:space="preserve"> </w:t>
      </w:r>
    </w:p>
    <w:p w:rsidR="00C076C7" w:rsidRPr="007C1584" w:rsidRDefault="007C06DF" w:rsidP="006E6027">
      <w:pPr>
        <w:rPr>
          <w:b/>
        </w:rPr>
      </w:pPr>
      <w:r w:rsidRPr="007C1584">
        <w:t>De</w:t>
      </w:r>
      <w:r w:rsidR="00E435FA" w:rsidRPr="007C1584">
        <w:t>bbie Schum, Executive</w:t>
      </w:r>
      <w:r w:rsidRPr="007C1584">
        <w:t xml:space="preserve"> </w:t>
      </w:r>
      <w:r w:rsidR="00E435FA" w:rsidRPr="007C1584">
        <w:t>Director, College &amp; Career Readiness (CCR)</w:t>
      </w:r>
    </w:p>
    <w:p w:rsidR="008E4F2E" w:rsidRPr="007C1584" w:rsidRDefault="008E4F2E" w:rsidP="006E6027">
      <w:r w:rsidRPr="007C1584">
        <w:t>Linda Johnson, BESE Member</w:t>
      </w:r>
      <w:r w:rsidR="00C26988" w:rsidRPr="007C1584">
        <w:t xml:space="preserve">, </w:t>
      </w:r>
      <w:r w:rsidRPr="007C1584">
        <w:t xml:space="preserve">HSR Commission </w:t>
      </w:r>
      <w:r w:rsidR="00284F00" w:rsidRPr="007C1584">
        <w:t>Co-</w:t>
      </w:r>
      <w:r w:rsidRPr="007C1584">
        <w:t xml:space="preserve">Chairperson </w:t>
      </w:r>
    </w:p>
    <w:p w:rsidR="00C864BA" w:rsidRPr="00533B88" w:rsidRDefault="00C864BA" w:rsidP="006E6027">
      <w:pPr>
        <w:rPr>
          <w:i/>
        </w:rPr>
      </w:pPr>
      <w:r w:rsidRPr="007C1584">
        <w:t>Troy Allen</w:t>
      </w:r>
      <w:r w:rsidR="006E6027" w:rsidRPr="007C1584">
        <w:t>,</w:t>
      </w:r>
      <w:r w:rsidR="00B63800" w:rsidRPr="007C1584">
        <w:t xml:space="preserve"> BESE Member, HSR Commission Co-Chairperson</w:t>
      </w:r>
    </w:p>
    <w:p w:rsidR="006E6027" w:rsidRDefault="001926A0" w:rsidP="00353060">
      <w:pPr>
        <w:ind w:left="2160" w:hanging="2160"/>
      </w:pPr>
      <w:r>
        <w:t>Commission members introduced themselves.</w:t>
      </w:r>
    </w:p>
    <w:p w:rsidR="00191DFC" w:rsidRDefault="00191DFC" w:rsidP="00353060">
      <w:pPr>
        <w:ind w:left="2160" w:hanging="2160"/>
      </w:pPr>
    </w:p>
    <w:p w:rsidR="00191DFC" w:rsidRDefault="00191DFC" w:rsidP="00191DFC">
      <w:pPr>
        <w:rPr>
          <w:b/>
        </w:rPr>
      </w:pPr>
      <w:r w:rsidRPr="00191DFC">
        <w:rPr>
          <w:b/>
        </w:rPr>
        <w:t>Alignment of Goals and Measures Proposed for the College and Career Readiness Report</w:t>
      </w:r>
      <w:r>
        <w:rPr>
          <w:b/>
        </w:rPr>
        <w:t xml:space="preserve"> </w:t>
      </w:r>
      <w:r w:rsidRPr="00191DFC">
        <w:rPr>
          <w:b/>
        </w:rPr>
        <w:t>(PowerPoint/</w:t>
      </w:r>
      <w:r w:rsidR="00A80D05">
        <w:rPr>
          <w:b/>
        </w:rPr>
        <w:t>H</w:t>
      </w:r>
      <w:r w:rsidRPr="00191DFC">
        <w:rPr>
          <w:b/>
        </w:rPr>
        <w:t>andouts)</w:t>
      </w:r>
    </w:p>
    <w:p w:rsidR="001926A0" w:rsidRDefault="001720E2" w:rsidP="001926A0">
      <w:r>
        <w:tab/>
      </w:r>
      <w:r w:rsidR="001926A0">
        <w:t xml:space="preserve">Debbie Schum reviewed the </w:t>
      </w:r>
      <w:r w:rsidR="007C1584">
        <w:t>Department</w:t>
      </w:r>
      <w:r w:rsidR="00B63800">
        <w:t xml:space="preserve">’s Critical </w:t>
      </w:r>
      <w:r w:rsidR="007C1584">
        <w:t>G</w:t>
      </w:r>
      <w:r w:rsidR="00B63800">
        <w:t xml:space="preserve">oals, HSR Commission goals, and </w:t>
      </w:r>
      <w:r w:rsidR="001926A0">
        <w:t>College and Career Readiness Policy Institute (CCRPI) goals</w:t>
      </w:r>
      <w:r w:rsidR="00D060BF">
        <w:t xml:space="preserve"> with a handout presenting a crosswal</w:t>
      </w:r>
      <w:r w:rsidR="007C1584">
        <w:t xml:space="preserve">k of the current goals and measures, as well as the goals and </w:t>
      </w:r>
      <w:r w:rsidR="00D060BF">
        <w:t>measures</w:t>
      </w:r>
      <w:r w:rsidR="007C1584">
        <w:t xml:space="preserve"> proposed for the College and Career Readiness Reports now being designed for schools</w:t>
      </w:r>
      <w:r w:rsidR="00D060BF">
        <w:t>.</w:t>
      </w:r>
      <w:r w:rsidR="0021481A">
        <w:t xml:space="preserve"> Ms. Schum reviewed each goal and measure, invited comments, and discussion ensued.  </w:t>
      </w:r>
      <w:r w:rsidR="006D5766">
        <w:t>Based on the discussion</w:t>
      </w:r>
      <w:r w:rsidR="007C1584">
        <w:t>,</w:t>
      </w:r>
      <w:r w:rsidR="006D5766">
        <w:t xml:space="preserve"> the following </w:t>
      </w:r>
      <w:r w:rsidR="00170950">
        <w:t xml:space="preserve">main </w:t>
      </w:r>
      <w:r w:rsidR="006D5766">
        <w:t>points were made:</w:t>
      </w:r>
    </w:p>
    <w:p w:rsidR="007C1584" w:rsidRDefault="00A80D05" w:rsidP="007C1584">
      <w:pPr>
        <w:numPr>
          <w:ilvl w:val="0"/>
          <w:numId w:val="5"/>
        </w:numPr>
        <w:ind w:left="720"/>
      </w:pPr>
      <w:r>
        <w:t>LDOE</w:t>
      </w:r>
      <w:r w:rsidR="007C1584">
        <w:t xml:space="preserve"> needs</w:t>
      </w:r>
      <w:r w:rsidR="0021481A">
        <w:t xml:space="preserve"> to </w:t>
      </w:r>
      <w:r w:rsidR="006D5766">
        <w:t>include</w:t>
      </w:r>
      <w:r w:rsidR="00170950">
        <w:t xml:space="preserve"> and</w:t>
      </w:r>
      <w:r w:rsidR="006D5766">
        <w:t xml:space="preserve"> </w:t>
      </w:r>
      <w:r w:rsidR="0021481A">
        <w:t>clarify definitions for terms and data</w:t>
      </w:r>
      <w:r w:rsidR="006D5766">
        <w:t xml:space="preserve"> in the reports</w:t>
      </w:r>
      <w:r w:rsidR="0021481A">
        <w:t xml:space="preserve">. </w:t>
      </w:r>
    </w:p>
    <w:p w:rsidR="00E14AE7" w:rsidRDefault="00A80D05" w:rsidP="007C1584">
      <w:pPr>
        <w:numPr>
          <w:ilvl w:val="0"/>
          <w:numId w:val="5"/>
        </w:numPr>
        <w:ind w:left="720"/>
      </w:pPr>
      <w:r>
        <w:t>LDOE</w:t>
      </w:r>
      <w:r w:rsidR="00E14AE7">
        <w:t xml:space="preserve"> should indicate “types of schools” (e.g., reconfigured, alternative, special circumstances).</w:t>
      </w:r>
    </w:p>
    <w:p w:rsidR="006D5766" w:rsidRDefault="0021481A" w:rsidP="007C1584">
      <w:pPr>
        <w:numPr>
          <w:ilvl w:val="0"/>
          <w:numId w:val="5"/>
        </w:numPr>
        <w:ind w:left="720"/>
      </w:pPr>
      <w:r>
        <w:t>Possible additions or elements to be included in</w:t>
      </w:r>
      <w:r w:rsidR="006D5766">
        <w:t xml:space="preserve"> the CCR or some other report </w:t>
      </w:r>
      <w:r>
        <w:t xml:space="preserve">are: </w:t>
      </w:r>
    </w:p>
    <w:p w:rsidR="007C1584" w:rsidRPr="00770C99" w:rsidRDefault="00170950" w:rsidP="001926A0">
      <w:r>
        <w:tab/>
      </w:r>
      <w:r w:rsidR="00F41C6E" w:rsidRPr="00770C99">
        <w:t>I</w:t>
      </w:r>
      <w:r w:rsidR="00E14AE7" w:rsidRPr="00770C99">
        <w:t>ndustry-Based Certifications (IBCs) reported</w:t>
      </w:r>
      <w:r w:rsidR="00F41C6E" w:rsidRPr="00770C99">
        <w:t xml:space="preserve"> by </w:t>
      </w:r>
      <w:r w:rsidR="00E14AE7" w:rsidRPr="00770C99">
        <w:t xml:space="preserve">group of students who completed </w:t>
      </w:r>
      <w:r w:rsidR="00F41C6E" w:rsidRPr="00770C99">
        <w:t xml:space="preserve">Career </w:t>
      </w:r>
      <w:r w:rsidR="00E14AE7" w:rsidRPr="00770C99">
        <w:tab/>
      </w:r>
      <w:r w:rsidR="00F41C6E" w:rsidRPr="00770C99">
        <w:t>Diploma, Core 4</w:t>
      </w:r>
      <w:r w:rsidR="00E14AE7" w:rsidRPr="00770C99">
        <w:t>, and Basic Core pathway</w:t>
      </w:r>
      <w:r w:rsidR="007C1584" w:rsidRPr="00770C99">
        <w:t xml:space="preserve">, </w:t>
      </w:r>
      <w:r w:rsidR="0021481A" w:rsidRPr="00770C99">
        <w:t>Advanced Placement</w:t>
      </w:r>
      <w:r w:rsidR="007C1584" w:rsidRPr="00770C99">
        <w:t xml:space="preserve"> results</w:t>
      </w:r>
      <w:r w:rsidR="0021481A" w:rsidRPr="00770C99">
        <w:t xml:space="preserve">, tracking post-secondary </w:t>
      </w:r>
      <w:r w:rsidR="00E14AE7" w:rsidRPr="00770C99">
        <w:tab/>
      </w:r>
      <w:r w:rsidR="0021481A" w:rsidRPr="00770C99">
        <w:t>success for non-public school students, PLAN (</w:t>
      </w:r>
      <w:r w:rsidRPr="00770C99">
        <w:t xml:space="preserve">the </w:t>
      </w:r>
      <w:r w:rsidR="0021481A" w:rsidRPr="00770C99">
        <w:t>10</w:t>
      </w:r>
      <w:r w:rsidR="0021481A" w:rsidRPr="00770C99">
        <w:rPr>
          <w:vertAlign w:val="superscript"/>
        </w:rPr>
        <w:t>th</w:t>
      </w:r>
      <w:r w:rsidRPr="00770C99">
        <w:t>-</w:t>
      </w:r>
      <w:r w:rsidR="0021481A" w:rsidRPr="00770C99">
        <w:t>grade assessment aligned with ACT)</w:t>
      </w:r>
      <w:r w:rsidR="006D5766" w:rsidRPr="00770C99">
        <w:t xml:space="preserve">. </w:t>
      </w:r>
    </w:p>
    <w:p w:rsidR="007C1584" w:rsidRPr="00770C99" w:rsidRDefault="006D5766" w:rsidP="001926A0">
      <w:pPr>
        <w:numPr>
          <w:ilvl w:val="0"/>
          <w:numId w:val="6"/>
        </w:numPr>
      </w:pPr>
      <w:r w:rsidRPr="00770C99">
        <w:t>Obtainable data do not include students who attend out-of-state institutions</w:t>
      </w:r>
      <w:r w:rsidR="00E3383D" w:rsidRPr="00770C99">
        <w:t xml:space="preserve">. </w:t>
      </w:r>
      <w:r w:rsidR="000868AA" w:rsidRPr="00770C99">
        <w:t>However, the c</w:t>
      </w:r>
      <w:r w:rsidR="00E3383D" w:rsidRPr="00770C99">
        <w:t>onsensus is this is important information to track.</w:t>
      </w:r>
      <w:r w:rsidR="000868AA" w:rsidRPr="00770C99">
        <w:t xml:space="preserve"> </w:t>
      </w:r>
      <w:r w:rsidR="00E14AE7" w:rsidRPr="00770C99">
        <w:t xml:space="preserve"> The </w:t>
      </w:r>
      <w:r w:rsidR="00E3383D" w:rsidRPr="00770C99">
        <w:t xml:space="preserve">National Clearinghouse is a possibility for </w:t>
      </w:r>
      <w:r w:rsidR="000868AA" w:rsidRPr="00770C99">
        <w:t>doing so but w</w:t>
      </w:r>
      <w:r w:rsidR="00E60CA0" w:rsidRPr="00770C99">
        <w:t xml:space="preserve">ould cost money. Another system, </w:t>
      </w:r>
      <w:r w:rsidR="002F4587" w:rsidRPr="00770C99">
        <w:t>NCHEMS (</w:t>
      </w:r>
      <w:r w:rsidR="00E60CA0" w:rsidRPr="00770C99">
        <w:t>National Center for Higher Education Management Systems</w:t>
      </w:r>
      <w:r w:rsidR="002F4587" w:rsidRPr="00770C99">
        <w:t>)</w:t>
      </w:r>
      <w:r w:rsidR="00E60CA0" w:rsidRPr="00770C99">
        <w:t xml:space="preserve">, </w:t>
      </w:r>
      <w:r w:rsidR="000868AA" w:rsidRPr="00770C99">
        <w:t>was mentioned as a no</w:t>
      </w:r>
      <w:r w:rsidR="002F4587" w:rsidRPr="00770C99">
        <w:t>-</w:t>
      </w:r>
      <w:r w:rsidR="000868AA" w:rsidRPr="00770C99">
        <w:t xml:space="preserve">cost possibility. </w:t>
      </w:r>
      <w:r w:rsidR="00A80D05" w:rsidRPr="00770C99">
        <w:t>LDOE</w:t>
      </w:r>
      <w:r w:rsidR="00E14AE7" w:rsidRPr="00770C99">
        <w:t xml:space="preserve"> will explore these possibilities. </w:t>
      </w:r>
    </w:p>
    <w:p w:rsidR="00E14AE7" w:rsidRDefault="006D5766" w:rsidP="001926A0">
      <w:pPr>
        <w:numPr>
          <w:ilvl w:val="0"/>
          <w:numId w:val="6"/>
        </w:numPr>
      </w:pPr>
      <w:r>
        <w:t>Board of Regents</w:t>
      </w:r>
      <w:r w:rsidR="00E14AE7">
        <w:t xml:space="preserve"> (</w:t>
      </w:r>
      <w:r w:rsidR="00A80D05">
        <w:t>BOR</w:t>
      </w:r>
      <w:r w:rsidR="00E14AE7">
        <w:t>)</w:t>
      </w:r>
      <w:r>
        <w:t xml:space="preserve"> may not continue funding PLAN next year</w:t>
      </w:r>
      <w:r w:rsidR="007C1584">
        <w:t>, pending their reassessment of priorities in the near future</w:t>
      </w:r>
      <w:r w:rsidR="000868AA">
        <w:t>.</w:t>
      </w:r>
    </w:p>
    <w:p w:rsidR="00E14AE7" w:rsidRDefault="00E3383D" w:rsidP="001926A0">
      <w:pPr>
        <w:numPr>
          <w:ilvl w:val="0"/>
          <w:numId w:val="6"/>
        </w:numPr>
      </w:pPr>
      <w:r>
        <w:lastRenderedPageBreak/>
        <w:t>Clarification of ACT data reporting</w:t>
      </w:r>
      <w:r w:rsidR="00F41C6E">
        <w:t>:</w:t>
      </w:r>
      <w:r w:rsidR="000868AA">
        <w:t xml:space="preserve"> Although scores that are reported may be different from those that colleges actually use to accept students or assign them to remedial classes, ACT always reports student scores for their last ACT administration, and we do not expect this to change in the foreseeable future. </w:t>
      </w:r>
    </w:p>
    <w:p w:rsidR="00F41C6E" w:rsidRDefault="00F41C6E" w:rsidP="001926A0">
      <w:pPr>
        <w:numPr>
          <w:ilvl w:val="0"/>
          <w:numId w:val="6"/>
        </w:numPr>
      </w:pPr>
      <w:r>
        <w:t>Institutions are gradually increasing selection criteria above the 18 English</w:t>
      </w:r>
      <w:r w:rsidR="00E14AE7">
        <w:t>/19 M</w:t>
      </w:r>
      <w:r>
        <w:t>ath</w:t>
      </w:r>
      <w:r w:rsidR="00E14AE7">
        <w:t xml:space="preserve"> ACT score</w:t>
      </w:r>
      <w:r>
        <w:t xml:space="preserve"> that the </w:t>
      </w:r>
      <w:r w:rsidR="00A80D05">
        <w:t>BOR</w:t>
      </w:r>
      <w:r w:rsidR="00E14AE7">
        <w:t xml:space="preserve"> set as the floor</w:t>
      </w:r>
      <w:r>
        <w:t xml:space="preserve"> for indicating college readiness. Accordingly, this measure (ACT Composite score for a graduating class) may need to be revised</w:t>
      </w:r>
      <w:r w:rsidR="00E14AE7">
        <w:t xml:space="preserve"> upward </w:t>
      </w:r>
      <w:r>
        <w:t xml:space="preserve">in the future. </w:t>
      </w:r>
    </w:p>
    <w:p w:rsidR="00E14AE7" w:rsidRDefault="00C50E60" w:rsidP="001926A0">
      <w:pPr>
        <w:numPr>
          <w:ilvl w:val="0"/>
          <w:numId w:val="7"/>
        </w:numPr>
      </w:pPr>
      <w:r>
        <w:t>National Career Readiness Certificate attainment (</w:t>
      </w:r>
      <w:r w:rsidR="00F41C6E">
        <w:t>WorkKeys</w:t>
      </w:r>
      <w:r>
        <w:t>)</w:t>
      </w:r>
      <w:r w:rsidR="00F41C6E">
        <w:t xml:space="preserve"> cannot be assigned to individual high schools, and ACT has no p</w:t>
      </w:r>
      <w:r w:rsidR="00E14AE7">
        <w:t xml:space="preserve">lans to change this. However, </w:t>
      </w:r>
      <w:r w:rsidR="00A80D05">
        <w:t>LDOE</w:t>
      </w:r>
      <w:r w:rsidR="00F41C6E">
        <w:t xml:space="preserve"> plan</w:t>
      </w:r>
      <w:r w:rsidR="00E14AE7">
        <w:t>s</w:t>
      </w:r>
      <w:r w:rsidR="00F41C6E">
        <w:t xml:space="preserve"> to continue reporting </w:t>
      </w:r>
      <w:r>
        <w:t>overall numbers for certificates awarded in Louisiana as well as pushing to have all 11</w:t>
      </w:r>
      <w:r w:rsidRPr="00C50E60">
        <w:rPr>
          <w:vertAlign w:val="superscript"/>
        </w:rPr>
        <w:t>th</w:t>
      </w:r>
      <w:r>
        <w:t xml:space="preserve"> graders tested in WorkKeys as proposed in the CCRPI</w:t>
      </w:r>
      <w:r w:rsidR="00E14AE7">
        <w:t>.</w:t>
      </w:r>
    </w:p>
    <w:p w:rsidR="00E14AE7" w:rsidRPr="00770C99" w:rsidRDefault="00963963" w:rsidP="001926A0">
      <w:pPr>
        <w:numPr>
          <w:ilvl w:val="0"/>
          <w:numId w:val="7"/>
        </w:numPr>
      </w:pPr>
      <w:r w:rsidRPr="00770C99">
        <w:t>As</w:t>
      </w:r>
      <w:r w:rsidR="00170950" w:rsidRPr="00770C99">
        <w:t xml:space="preserve"> the intent of the goal is to track post-secondary completion</w:t>
      </w:r>
      <w:r w:rsidRPr="00770C99">
        <w:t xml:space="preserve">, </w:t>
      </w:r>
      <w:r w:rsidR="00A80D05" w:rsidRPr="00770C99">
        <w:t>LDOE</w:t>
      </w:r>
      <w:r w:rsidR="00170950" w:rsidRPr="00770C99">
        <w:t xml:space="preserve"> will report o</w:t>
      </w:r>
      <w:r w:rsidRPr="00770C99">
        <w:t xml:space="preserve">n students that complete 1 year, regardless of whether it is </w:t>
      </w:r>
      <w:r w:rsidR="00170950" w:rsidRPr="00770C99">
        <w:t>at</w:t>
      </w:r>
      <w:r w:rsidR="00E60CA0" w:rsidRPr="00770C99">
        <w:t xml:space="preserve"> the same or different institutions. </w:t>
      </w:r>
    </w:p>
    <w:p w:rsidR="001926A0" w:rsidRPr="00770C99" w:rsidRDefault="00E14AE7" w:rsidP="00E14AE7">
      <w:pPr>
        <w:numPr>
          <w:ilvl w:val="0"/>
          <w:numId w:val="7"/>
        </w:numPr>
        <w:rPr>
          <w:i/>
        </w:rPr>
      </w:pPr>
      <w:r w:rsidRPr="00770C99">
        <w:t>F</w:t>
      </w:r>
      <w:r w:rsidR="006D5766" w:rsidRPr="00770C99">
        <w:t xml:space="preserve">or the next Commission meeting, </w:t>
      </w:r>
      <w:r w:rsidRPr="00770C99">
        <w:t>Ms. Schum</w:t>
      </w:r>
      <w:r w:rsidR="00963963" w:rsidRPr="00770C99">
        <w:t xml:space="preserve"> will bring back </w:t>
      </w:r>
      <w:r w:rsidR="006D5766" w:rsidRPr="00770C99">
        <w:t>cost quotes for obtaining data</w:t>
      </w:r>
      <w:r w:rsidRPr="00770C99">
        <w:t xml:space="preserve"> that would need to be purchased. </w:t>
      </w:r>
    </w:p>
    <w:p w:rsidR="00A80D05" w:rsidRPr="00963963" w:rsidRDefault="00A80D05" w:rsidP="00A80D05">
      <w:pPr>
        <w:ind w:left="360"/>
        <w:rPr>
          <w:i/>
        </w:rPr>
      </w:pPr>
    </w:p>
    <w:p w:rsidR="00963963" w:rsidRPr="00E14AE7" w:rsidRDefault="00A80D05" w:rsidP="00A80D05">
      <w:pPr>
        <w:ind w:firstLine="360"/>
        <w:rPr>
          <w:i/>
        </w:rPr>
      </w:pPr>
      <w:r>
        <w:t xml:space="preserve">Dr. </w:t>
      </w:r>
      <w:r w:rsidR="00963963">
        <w:t>Paul Theriot (</w:t>
      </w:r>
      <w:r>
        <w:t>LDOE</w:t>
      </w:r>
      <w:r w:rsidR="00191DFC">
        <w:t>/</w:t>
      </w:r>
      <w:r w:rsidR="00963963">
        <w:t xml:space="preserve">CCR) provided </w:t>
      </w:r>
      <w:r>
        <w:t>an</w:t>
      </w:r>
      <w:r w:rsidR="00963963">
        <w:t xml:space="preserve"> explanation on IBCs collected by the CATE data system (partial completers who cannot yet meet the age requirement for some IBCs are counted).  Dual Enrollment is planned to be reported for a student’s high school career, not just by year, as it is done now. </w:t>
      </w:r>
    </w:p>
    <w:p w:rsidR="001926A0" w:rsidRPr="00790E46" w:rsidRDefault="001926A0" w:rsidP="001926A0">
      <w:pPr>
        <w:ind w:left="2160" w:hanging="2160"/>
        <w:rPr>
          <w:b/>
          <w:i/>
        </w:rPr>
      </w:pPr>
      <w:r w:rsidRPr="00790E46">
        <w:rPr>
          <w:b/>
        </w:rPr>
        <w:tab/>
      </w:r>
      <w:r w:rsidRPr="00790E46">
        <w:rPr>
          <w:b/>
        </w:rPr>
        <w:tab/>
      </w:r>
    </w:p>
    <w:p w:rsidR="001926A0" w:rsidRPr="00790E46" w:rsidRDefault="001926A0" w:rsidP="001926A0">
      <w:pPr>
        <w:rPr>
          <w:b/>
        </w:rPr>
      </w:pPr>
      <w:r>
        <w:rPr>
          <w:b/>
        </w:rPr>
        <w:t>Credit Recovery Update</w:t>
      </w:r>
      <w:r w:rsidR="00191DFC">
        <w:rPr>
          <w:b/>
        </w:rPr>
        <w:t xml:space="preserve"> </w:t>
      </w:r>
      <w:r w:rsidR="00191DFC" w:rsidRPr="00191DFC">
        <w:rPr>
          <w:b/>
        </w:rPr>
        <w:t>(PowerPoint/</w:t>
      </w:r>
      <w:r w:rsidR="00A80D05">
        <w:rPr>
          <w:b/>
        </w:rPr>
        <w:t>H</w:t>
      </w:r>
      <w:r w:rsidR="00191DFC" w:rsidRPr="00191DFC">
        <w:rPr>
          <w:b/>
        </w:rPr>
        <w:t>andouts)</w:t>
      </w:r>
    </w:p>
    <w:p w:rsidR="001926A0" w:rsidRPr="00F60658" w:rsidRDefault="001720E2" w:rsidP="001926A0">
      <w:r>
        <w:tab/>
      </w:r>
      <w:r w:rsidR="004A0B28" w:rsidRPr="00F60658">
        <w:t>Debbie Schum gave a brief update on Credi</w:t>
      </w:r>
      <w:r w:rsidR="00963963">
        <w:t xml:space="preserve">t Recovery and mentioned the </w:t>
      </w:r>
      <w:r w:rsidR="00A80D05">
        <w:t>LDOE</w:t>
      </w:r>
      <w:r w:rsidR="004A0B28" w:rsidRPr="00F60658">
        <w:t xml:space="preserve"> will be publishing a Credit Recovery report by school and LEA next school year. It will not include grade recovery enrollment.  Ms. Schum mentioned </w:t>
      </w:r>
      <w:r w:rsidR="00963963" w:rsidRPr="00F60658">
        <w:t>last week</w:t>
      </w:r>
      <w:r w:rsidR="00963963">
        <w:t>’s</w:t>
      </w:r>
      <w:r w:rsidR="004A0B28" w:rsidRPr="00F60658">
        <w:t xml:space="preserve"> prominent local news story </w:t>
      </w:r>
      <w:r w:rsidR="00963963">
        <w:t>describing</w:t>
      </w:r>
      <w:r w:rsidR="004A0B28" w:rsidRPr="00F60658">
        <w:t xml:space="preserve"> the success of </w:t>
      </w:r>
      <w:r w:rsidR="00A80D05">
        <w:t xml:space="preserve">the </w:t>
      </w:r>
      <w:r w:rsidR="004A0B28" w:rsidRPr="00F60658">
        <w:t xml:space="preserve">Louisiana Virtual School </w:t>
      </w:r>
      <w:r w:rsidR="00963963">
        <w:t xml:space="preserve">(LVS) </w:t>
      </w:r>
      <w:r w:rsidR="004A0B28" w:rsidRPr="00F60658">
        <w:t>and touched on the successes LVS continues to show as it expands to provide high-quality credit recovery and other classes to secondary students throughout Louisiana.</w:t>
      </w:r>
    </w:p>
    <w:p w:rsidR="001926A0" w:rsidRDefault="001926A0" w:rsidP="001926A0">
      <w:pPr>
        <w:rPr>
          <w:b/>
        </w:rPr>
      </w:pPr>
    </w:p>
    <w:p w:rsidR="001926A0" w:rsidRDefault="00191DFC" w:rsidP="001926A0">
      <w:pPr>
        <w:rPr>
          <w:b/>
        </w:rPr>
      </w:pPr>
      <w:r>
        <w:rPr>
          <w:b/>
        </w:rPr>
        <w:t xml:space="preserve">Dual Enrollment/Articulated </w:t>
      </w:r>
      <w:r w:rsidR="001926A0">
        <w:rPr>
          <w:b/>
        </w:rPr>
        <w:t>Credit Update</w:t>
      </w:r>
      <w:r>
        <w:rPr>
          <w:b/>
        </w:rPr>
        <w:t xml:space="preserve"> </w:t>
      </w:r>
      <w:r w:rsidRPr="00191DFC">
        <w:rPr>
          <w:b/>
        </w:rPr>
        <w:t>(PowerPoint/handouts)</w:t>
      </w:r>
    </w:p>
    <w:p w:rsidR="00191DFC" w:rsidRDefault="00191DFC" w:rsidP="00A80D05">
      <w:pPr>
        <w:ind w:firstLine="360"/>
      </w:pPr>
      <w:r>
        <w:t xml:space="preserve">Dr. </w:t>
      </w:r>
      <w:r w:rsidR="00A80D05">
        <w:t>Paul T</w:t>
      </w:r>
      <w:r>
        <w:t>heriot p</w:t>
      </w:r>
      <w:r w:rsidR="002F4587">
        <w:t>resented an update</w:t>
      </w:r>
      <w:r>
        <w:t xml:space="preserve"> on</w:t>
      </w:r>
      <w:r w:rsidR="002F4587">
        <w:t xml:space="preserve"> dual enrollment.</w:t>
      </w:r>
      <w:r>
        <w:t xml:space="preserve"> </w:t>
      </w:r>
    </w:p>
    <w:p w:rsidR="00191DFC" w:rsidRDefault="00191DFC" w:rsidP="001926A0">
      <w:pPr>
        <w:numPr>
          <w:ilvl w:val="0"/>
          <w:numId w:val="8"/>
        </w:numPr>
      </w:pPr>
      <w:r>
        <w:t>Three</w:t>
      </w:r>
      <w:r w:rsidR="002F4587">
        <w:t>-year trend data show</w:t>
      </w:r>
      <w:r w:rsidR="00A80D05">
        <w:t>s</w:t>
      </w:r>
      <w:r w:rsidR="002F4587">
        <w:t xml:space="preserve"> over 60% growth in dual enrollment statewide. </w:t>
      </w:r>
    </w:p>
    <w:p w:rsidR="00191DFC" w:rsidRDefault="002F4587" w:rsidP="001926A0">
      <w:pPr>
        <w:numPr>
          <w:ilvl w:val="0"/>
          <w:numId w:val="8"/>
        </w:numPr>
      </w:pPr>
      <w:r>
        <w:t>National data show</w:t>
      </w:r>
      <w:r w:rsidR="00A80D05">
        <w:t>s</w:t>
      </w:r>
      <w:r>
        <w:t xml:space="preserve"> dual enrollment is correlated with </w:t>
      </w:r>
      <w:r w:rsidR="00B259C6">
        <w:t xml:space="preserve">higher rates in </w:t>
      </w:r>
      <w:r w:rsidR="00191DFC">
        <w:t>the following</w:t>
      </w:r>
      <w:r w:rsidR="00B259C6">
        <w:t xml:space="preserve"> areas</w:t>
      </w:r>
      <w:r w:rsidR="00191DFC">
        <w:t>:</w:t>
      </w:r>
    </w:p>
    <w:p w:rsidR="00191DFC" w:rsidRDefault="00A129FA" w:rsidP="00191DFC">
      <w:pPr>
        <w:ind w:left="720"/>
      </w:pPr>
      <w:r>
        <w:t>1)</w:t>
      </w:r>
      <w:r w:rsidR="00191DFC">
        <w:t xml:space="preserve"> </w:t>
      </w:r>
      <w:r w:rsidR="002F4587">
        <w:t xml:space="preserve">high-school graduation rates, </w:t>
      </w:r>
    </w:p>
    <w:p w:rsidR="00191DFC" w:rsidRDefault="00191DFC" w:rsidP="00191DFC">
      <w:pPr>
        <w:ind w:left="720"/>
      </w:pPr>
      <w:r>
        <w:t xml:space="preserve">2) </w:t>
      </w:r>
      <w:r w:rsidR="002F4587">
        <w:t xml:space="preserve">post-secondary enrollment, and </w:t>
      </w:r>
    </w:p>
    <w:p w:rsidR="00191DFC" w:rsidRDefault="00191DFC" w:rsidP="00191DFC">
      <w:pPr>
        <w:ind w:left="720"/>
      </w:pPr>
      <w:r>
        <w:t xml:space="preserve">3) </w:t>
      </w:r>
      <w:r w:rsidR="002F4587">
        <w:t xml:space="preserve">post-secondary completion. </w:t>
      </w:r>
    </w:p>
    <w:p w:rsidR="00191DFC" w:rsidRDefault="004A0B28" w:rsidP="001926A0">
      <w:pPr>
        <w:numPr>
          <w:ilvl w:val="0"/>
          <w:numId w:val="9"/>
        </w:numPr>
        <w:ind w:left="720"/>
      </w:pPr>
      <w:r w:rsidRPr="004A0B28">
        <w:t>The most growth has taken place at the technical college level.</w:t>
      </w:r>
    </w:p>
    <w:p w:rsidR="00191DFC" w:rsidRDefault="004A0B28" w:rsidP="00E14AE7">
      <w:pPr>
        <w:numPr>
          <w:ilvl w:val="0"/>
          <w:numId w:val="9"/>
        </w:numPr>
        <w:ind w:left="720"/>
      </w:pPr>
      <w:r>
        <w:t>Looming f</w:t>
      </w:r>
      <w:r w:rsidRPr="004A0B28">
        <w:t>unding</w:t>
      </w:r>
      <w:r>
        <w:t xml:space="preserve"> challenges</w:t>
      </w:r>
      <w:r w:rsidRPr="004A0B28">
        <w:t xml:space="preserve">: Board of Regents’ Early Start has been the main source of funding for dual enrollment. </w:t>
      </w:r>
      <w:r w:rsidR="00A80D05">
        <w:t>BOR</w:t>
      </w:r>
      <w:r w:rsidRPr="004A0B28">
        <w:t>, however, has begun reassessing their priorities for funding, and districts are asserting that the will have diminished resources to be able to pick up the cost.</w:t>
      </w:r>
      <w:r w:rsidRPr="00191DFC">
        <w:rPr>
          <w:i/>
        </w:rPr>
        <w:t xml:space="preserve"> </w:t>
      </w:r>
    </w:p>
    <w:p w:rsidR="001926A0" w:rsidRPr="00E14AE7" w:rsidRDefault="004A0B28" w:rsidP="00E14AE7">
      <w:pPr>
        <w:numPr>
          <w:ilvl w:val="0"/>
          <w:numId w:val="9"/>
        </w:numPr>
        <w:ind w:left="720"/>
      </w:pPr>
      <w:r>
        <w:t xml:space="preserve">Louisiana is one of the few states that does </w:t>
      </w:r>
      <w:r w:rsidR="00191DFC">
        <w:t>dual enrollment</w:t>
      </w:r>
      <w:r>
        <w:t xml:space="preserve"> in different ways (not just sending high school students to the college campus</w:t>
      </w:r>
      <w:r w:rsidR="00191DFC">
        <w:t>; schools also</w:t>
      </w:r>
      <w:r>
        <w:t xml:space="preserve"> have instructors go to the high school campus, 3</w:t>
      </w:r>
      <w:r w:rsidRPr="00191DFC">
        <w:rPr>
          <w:vertAlign w:val="superscript"/>
        </w:rPr>
        <w:t>rd</w:t>
      </w:r>
      <w:r>
        <w:t>-part</w:t>
      </w:r>
      <w:r w:rsidR="00E14AE7">
        <w:t>y facilities for some classes)</w:t>
      </w:r>
      <w:r w:rsidR="00191DFC">
        <w:t>.</w:t>
      </w:r>
    </w:p>
    <w:p w:rsidR="001926A0" w:rsidRDefault="001926A0" w:rsidP="001926A0">
      <w:pPr>
        <w:ind w:left="2160" w:hanging="2160"/>
        <w:rPr>
          <w:b/>
        </w:rPr>
      </w:pPr>
    </w:p>
    <w:p w:rsidR="001926A0" w:rsidRPr="00790E46" w:rsidRDefault="001926A0" w:rsidP="001926A0">
      <w:pPr>
        <w:rPr>
          <w:b/>
        </w:rPr>
      </w:pPr>
      <w:r>
        <w:rPr>
          <w:b/>
        </w:rPr>
        <w:t xml:space="preserve">Common Core Standards and Assessments Update </w:t>
      </w:r>
      <w:r w:rsidR="00191DFC" w:rsidRPr="00191DFC">
        <w:rPr>
          <w:b/>
        </w:rPr>
        <w:t>(PowerPoint/</w:t>
      </w:r>
      <w:r w:rsidR="00A80D05">
        <w:rPr>
          <w:b/>
        </w:rPr>
        <w:t>H</w:t>
      </w:r>
      <w:r w:rsidR="00191DFC" w:rsidRPr="00191DFC">
        <w:rPr>
          <w:b/>
        </w:rPr>
        <w:t>andouts)</w:t>
      </w:r>
    </w:p>
    <w:p w:rsidR="00E9229A" w:rsidRPr="00E9229A" w:rsidRDefault="00E9229A" w:rsidP="00E9229A">
      <w:pPr>
        <w:rPr>
          <w:color w:val="000000" w:themeColor="text1"/>
        </w:rPr>
      </w:pPr>
      <w:r>
        <w:t xml:space="preserve">      </w:t>
      </w:r>
      <w:r>
        <w:tab/>
      </w:r>
      <w:r w:rsidRPr="00E9229A">
        <w:rPr>
          <w:color w:val="000000" w:themeColor="text1"/>
        </w:rPr>
        <w:t>Nancy Beben (</w:t>
      </w:r>
      <w:r w:rsidR="00A80D05">
        <w:rPr>
          <w:color w:val="000000" w:themeColor="text1"/>
        </w:rPr>
        <w:t>LDOE</w:t>
      </w:r>
      <w:r w:rsidRPr="00E9229A">
        <w:rPr>
          <w:color w:val="000000" w:themeColor="text1"/>
        </w:rPr>
        <w:t xml:space="preserve">/Curriculum and Standards) presented on the implementation of the </w:t>
      </w:r>
      <w:r w:rsidRPr="00E9229A">
        <w:rPr>
          <w:i/>
          <w:iCs/>
          <w:color w:val="000000" w:themeColor="text1"/>
        </w:rPr>
        <w:t>Common Core</w:t>
      </w:r>
      <w:r w:rsidRPr="00E9229A">
        <w:rPr>
          <w:color w:val="000000" w:themeColor="text1"/>
        </w:rPr>
        <w:t xml:space="preserve"> State Standards and related curriculum matters.  Some new content will be present in the curriculum from 2012-13, and full implementation of the new common core English and math standards with assessments will occur in 2014-15, along with the new Comprehensive Curriculum.  The common core standards have greater focus on college and career readiness.  The “Next Generation” Science Standards </w:t>
      </w:r>
      <w:r w:rsidRPr="00E9229A">
        <w:rPr>
          <w:color w:val="000000" w:themeColor="text1"/>
        </w:rPr>
        <w:lastRenderedPageBreak/>
        <w:t xml:space="preserve">are in the works for consideration (adoption by BESE). The </w:t>
      </w:r>
      <w:r w:rsidR="00A80D05">
        <w:rPr>
          <w:color w:val="000000" w:themeColor="text1"/>
        </w:rPr>
        <w:t>LDOE</w:t>
      </w:r>
      <w:r w:rsidRPr="00E9229A">
        <w:rPr>
          <w:color w:val="000000" w:themeColor="text1"/>
        </w:rPr>
        <w:t xml:space="preserve"> has a detailed plan for implementation, communication, and professional development (webinars, conference calls, regional trainings, etc.) that will be presented this spring.  </w:t>
      </w:r>
      <w:r w:rsidR="00632FE3">
        <w:rPr>
          <w:color w:val="000000" w:themeColor="text1"/>
        </w:rPr>
        <w:t>Louisiana’s</w:t>
      </w:r>
      <w:r w:rsidRPr="00E9229A">
        <w:rPr>
          <w:color w:val="000000" w:themeColor="text1"/>
        </w:rPr>
        <w:t xml:space="preserve"> newly developed Prekindergarten curriculum and revised social studies standards will be submitted to BESE in June.</w:t>
      </w:r>
    </w:p>
    <w:p w:rsidR="00E9229A" w:rsidRPr="00E9229A" w:rsidRDefault="00E9229A" w:rsidP="00E9229A">
      <w:pPr>
        <w:rPr>
          <w:color w:val="000000" w:themeColor="text1"/>
        </w:rPr>
      </w:pPr>
      <w:r>
        <w:rPr>
          <w:color w:val="000000" w:themeColor="text1"/>
        </w:rPr>
        <w:tab/>
      </w:r>
      <w:r w:rsidRPr="00E9229A">
        <w:rPr>
          <w:color w:val="000000" w:themeColor="text1"/>
        </w:rPr>
        <w:t xml:space="preserve">Tentatively, the </w:t>
      </w:r>
      <w:r w:rsidR="00A80D05">
        <w:rPr>
          <w:color w:val="000000" w:themeColor="text1"/>
        </w:rPr>
        <w:t>LDOE</w:t>
      </w:r>
      <w:r w:rsidRPr="00E9229A">
        <w:rPr>
          <w:color w:val="000000" w:themeColor="text1"/>
        </w:rPr>
        <w:t xml:space="preserve"> is planning on having 3 administrations of standardized assessments, which will replace the current one.  There will be new items for EAGLE (used for formative assessments).  </w:t>
      </w:r>
    </w:p>
    <w:p w:rsidR="00E9229A" w:rsidRDefault="00E9229A" w:rsidP="007C1584">
      <w:pPr>
        <w:rPr>
          <w:color w:val="000000" w:themeColor="text1"/>
        </w:rPr>
      </w:pPr>
      <w:r>
        <w:rPr>
          <w:color w:val="000000" w:themeColor="text1"/>
        </w:rPr>
        <w:tab/>
      </w:r>
      <w:r w:rsidRPr="00E9229A">
        <w:rPr>
          <w:color w:val="000000" w:themeColor="text1"/>
        </w:rPr>
        <w:t xml:space="preserve">Scott Norton mentioned that it is hoped that, budget permitting, EAGLE would be flexible enough to assess current curriculum (as tested by End-of-Course exams) as well as the new curriculum, when ready.         </w:t>
      </w:r>
    </w:p>
    <w:p w:rsidR="001926A0" w:rsidRPr="00E9229A" w:rsidRDefault="00E9229A" w:rsidP="007C1584">
      <w:pPr>
        <w:rPr>
          <w:color w:val="000000" w:themeColor="text1"/>
        </w:rPr>
      </w:pPr>
      <w:r>
        <w:rPr>
          <w:color w:val="000000" w:themeColor="text1"/>
        </w:rPr>
        <w:tab/>
      </w:r>
      <w:r w:rsidR="00A80D05">
        <w:rPr>
          <w:color w:val="000000" w:themeColor="text1"/>
        </w:rPr>
        <w:t>LDOE</w:t>
      </w:r>
      <w:r w:rsidRPr="00E9229A">
        <w:rPr>
          <w:color w:val="000000" w:themeColor="text1"/>
        </w:rPr>
        <w:t xml:space="preserve"> will consider the suggestion that professional development for teachers needs to be held during the summer. </w:t>
      </w:r>
    </w:p>
    <w:p w:rsidR="001926A0" w:rsidRDefault="001926A0" w:rsidP="001926A0">
      <w:pPr>
        <w:rPr>
          <w:b/>
        </w:rPr>
      </w:pPr>
    </w:p>
    <w:p w:rsidR="001926A0" w:rsidRDefault="001720E2" w:rsidP="001926A0">
      <w:pPr>
        <w:rPr>
          <w:b/>
        </w:rPr>
      </w:pPr>
      <w:r>
        <w:rPr>
          <w:b/>
        </w:rPr>
        <w:t>Seat-</w:t>
      </w:r>
      <w:r w:rsidR="001926A0">
        <w:rPr>
          <w:b/>
        </w:rPr>
        <w:t>Time Policy Overview</w:t>
      </w:r>
      <w:r w:rsidR="00794B85">
        <w:rPr>
          <w:b/>
        </w:rPr>
        <w:t xml:space="preserve"> </w:t>
      </w:r>
      <w:r w:rsidR="00794B85" w:rsidRPr="00191DFC">
        <w:rPr>
          <w:b/>
        </w:rPr>
        <w:t>(PowerPoint/handouts)</w:t>
      </w:r>
    </w:p>
    <w:p w:rsidR="001926A0" w:rsidRDefault="001720E2" w:rsidP="001926A0">
      <w:r>
        <w:tab/>
      </w:r>
      <w:r w:rsidR="001926A0" w:rsidRPr="001720E2">
        <w:t>Chris Meyer</w:t>
      </w:r>
      <w:r>
        <w:t xml:space="preserve"> (</w:t>
      </w:r>
      <w:r w:rsidR="00A80D05">
        <w:t>LDOE</w:t>
      </w:r>
      <w:r>
        <w:t>/Superintendent’s Office)</w:t>
      </w:r>
      <w:r w:rsidR="00AA1F96">
        <w:rPr>
          <w:i/>
        </w:rPr>
        <w:t xml:space="preserve"> </w:t>
      </w:r>
      <w:r w:rsidR="00AA1F96">
        <w:t xml:space="preserve">presented on recent “seat-time” policy changes adopted by BESE.  </w:t>
      </w:r>
      <w:r w:rsidR="003807A2">
        <w:t xml:space="preserve">Mr. Meyer presented data on numerous states showing that there is no significant correlation between seat time and the graduation rate.  </w:t>
      </w:r>
      <w:r w:rsidR="00AA1F96">
        <w:t xml:space="preserve">2011-12 will be the pilot year for some districts/schools to take advantage of the </w:t>
      </w:r>
      <w:r w:rsidR="00D61416">
        <w:t xml:space="preserve">new </w:t>
      </w:r>
      <w:r w:rsidR="00AA1F96">
        <w:t xml:space="preserve">flexibility </w:t>
      </w:r>
      <w:r w:rsidR="00D61416">
        <w:t xml:space="preserve">(essentially, removal of </w:t>
      </w:r>
      <w:r>
        <w:t xml:space="preserve">requirements for </w:t>
      </w:r>
      <w:r w:rsidR="00D61416">
        <w:t xml:space="preserve">attendance minutes) </w:t>
      </w:r>
      <w:r w:rsidR="00AA1F96">
        <w:t>while hashing out successful practices and maintaining safeguards so the pol</w:t>
      </w:r>
      <w:r w:rsidR="00D61416">
        <w:t>icy is no</w:t>
      </w:r>
      <w:r w:rsidR="003807A2">
        <w:t>t</w:t>
      </w:r>
      <w:r w:rsidR="00D61416">
        <w:t xml:space="preserve"> applied ineffectively</w:t>
      </w:r>
      <w:r>
        <w:t>; districts, such as Calcasieu, are being invited to participate</w:t>
      </w:r>
      <w:r w:rsidR="00D61416">
        <w:t xml:space="preserve">. </w:t>
      </w:r>
      <w:r w:rsidR="003807A2">
        <w:t xml:space="preserve"> The change results from a philosophy shift </w:t>
      </w:r>
      <w:r>
        <w:t xml:space="preserve">from seat time </w:t>
      </w:r>
      <w:r w:rsidR="003807A2">
        <w:t xml:space="preserve">toward “proficiency demonstration.” </w:t>
      </w:r>
      <w:r w:rsidR="00D61416">
        <w:t>In 2012-13, the polic</w:t>
      </w:r>
      <w:r w:rsidR="003807A2">
        <w:t xml:space="preserve">y will be in effect statewide.  </w:t>
      </w:r>
    </w:p>
    <w:p w:rsidR="003807A2" w:rsidRDefault="003807A2" w:rsidP="001926A0"/>
    <w:p w:rsidR="00D61416" w:rsidRPr="00AA1F96" w:rsidRDefault="00D61416" w:rsidP="001926A0">
      <w:r>
        <w:t xml:space="preserve">Comment: There may be a problem scheduling common core assessments to be administered as students complete accelerated classes. </w:t>
      </w:r>
    </w:p>
    <w:p w:rsidR="001720E2" w:rsidRDefault="001720E2" w:rsidP="001926A0">
      <w:pPr>
        <w:rPr>
          <w:b/>
        </w:rPr>
      </w:pPr>
    </w:p>
    <w:p w:rsidR="001926A0" w:rsidRDefault="001720E2" w:rsidP="001926A0">
      <w:pPr>
        <w:rPr>
          <w:b/>
        </w:rPr>
      </w:pPr>
      <w:r>
        <w:rPr>
          <w:b/>
        </w:rPr>
        <w:t xml:space="preserve">Delivery for Outcomes </w:t>
      </w:r>
      <w:r w:rsidR="001926A0">
        <w:rPr>
          <w:b/>
        </w:rPr>
        <w:t>Update</w:t>
      </w:r>
      <w:r w:rsidR="00794B85">
        <w:rPr>
          <w:b/>
        </w:rPr>
        <w:t xml:space="preserve"> </w:t>
      </w:r>
      <w:r w:rsidR="00794B85" w:rsidRPr="00191DFC">
        <w:rPr>
          <w:b/>
        </w:rPr>
        <w:t>(PowerPoint/handouts)</w:t>
      </w:r>
    </w:p>
    <w:p w:rsidR="00223306" w:rsidRDefault="001720E2" w:rsidP="003807A2">
      <w:r>
        <w:tab/>
      </w:r>
      <w:r w:rsidR="001926A0" w:rsidRPr="001720E2">
        <w:t>Debbie Schum</w:t>
      </w:r>
      <w:r w:rsidR="00223306">
        <w:t xml:space="preserve"> presented revised trajectories on reaching the Gradu</w:t>
      </w:r>
      <w:r>
        <w:t>ation Rat</w:t>
      </w:r>
      <w:r w:rsidR="00223306">
        <w:t>e and First-Time Freshmen targets.  Even with the revised trajectories, there are still small gaps, which the CCR is working with the Superintendent’s Delivery Unit to address.  For the August meeting, the Commission will be updated on the actual data for those indicators.</w:t>
      </w:r>
    </w:p>
    <w:p w:rsidR="001926A0" w:rsidRPr="00223306" w:rsidRDefault="001720E2" w:rsidP="003807A2">
      <w:r>
        <w:tab/>
      </w:r>
      <w:r w:rsidR="00223306">
        <w:t xml:space="preserve">Ms. Schum also presented the </w:t>
      </w:r>
      <w:r w:rsidR="007C1584">
        <w:t>roll-up of the delivery-</w:t>
      </w:r>
      <w:r w:rsidR="00223306">
        <w:t>for</w:t>
      </w:r>
      <w:r w:rsidR="007C1584">
        <w:t>-</w:t>
      </w:r>
      <w:r w:rsidR="00223306">
        <w:t xml:space="preserve">outcomes </w:t>
      </w:r>
      <w:r w:rsidR="007C1584">
        <w:t xml:space="preserve">school </w:t>
      </w:r>
      <w:r w:rsidR="00223306">
        <w:t>reports that reflect CCR staff presence</w:t>
      </w:r>
      <w:r w:rsidR="007C1584">
        <w:t xml:space="preserve"> in schools and aid staff</w:t>
      </w:r>
      <w:r w:rsidR="00223306">
        <w:t xml:space="preserve"> in efficiently targeting services.  </w:t>
      </w:r>
    </w:p>
    <w:p w:rsidR="001926A0" w:rsidRDefault="001926A0" w:rsidP="001926A0">
      <w:pPr>
        <w:ind w:left="2160" w:hanging="2160"/>
        <w:rPr>
          <w:b/>
        </w:rPr>
      </w:pPr>
    </w:p>
    <w:p w:rsidR="001926A0" w:rsidRDefault="00223306" w:rsidP="001926A0">
      <w:pPr>
        <w:rPr>
          <w:b/>
        </w:rPr>
      </w:pPr>
      <w:r>
        <w:rPr>
          <w:b/>
        </w:rPr>
        <w:t xml:space="preserve">The meeting was adjourned at </w:t>
      </w:r>
      <w:r w:rsidR="00E14AE7">
        <w:rPr>
          <w:b/>
        </w:rPr>
        <w:t xml:space="preserve">12:00 </w:t>
      </w:r>
      <w:r>
        <w:rPr>
          <w:b/>
        </w:rPr>
        <w:t>noon.</w:t>
      </w:r>
    </w:p>
    <w:p w:rsidR="00997207" w:rsidRDefault="00997207" w:rsidP="00524081">
      <w:pPr>
        <w:ind w:left="360"/>
      </w:pPr>
      <w:r>
        <w:t xml:space="preserve"> </w:t>
      </w:r>
    </w:p>
    <w:p w:rsidR="00C864BA" w:rsidRPr="002A3A84" w:rsidRDefault="00C864BA" w:rsidP="00C864BA">
      <w:pPr>
        <w:jc w:val="center"/>
        <w:rPr>
          <w:b/>
          <w:sz w:val="28"/>
          <w:szCs w:val="28"/>
        </w:rPr>
      </w:pPr>
      <w:r w:rsidRPr="002A3A84">
        <w:rPr>
          <w:b/>
          <w:sz w:val="28"/>
          <w:szCs w:val="28"/>
          <w:u w:val="single"/>
        </w:rPr>
        <w:t>Future HSR Commission Meeting Dates</w:t>
      </w:r>
    </w:p>
    <w:p w:rsidR="00C864BA" w:rsidRPr="002A3A84" w:rsidRDefault="00C864BA" w:rsidP="00C864BA">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4"/>
        <w:gridCol w:w="3384"/>
        <w:gridCol w:w="3384"/>
      </w:tblGrid>
      <w:tr w:rsidR="00C864BA" w:rsidRPr="007A0036" w:rsidTr="00D71445">
        <w:tc>
          <w:tcPr>
            <w:tcW w:w="3384" w:type="dxa"/>
            <w:shd w:val="clear" w:color="auto" w:fill="D9D9D9"/>
          </w:tcPr>
          <w:p w:rsidR="00C864BA" w:rsidRPr="007A0036" w:rsidRDefault="00C864BA" w:rsidP="00D71445">
            <w:pPr>
              <w:jc w:val="center"/>
              <w:rPr>
                <w:b/>
                <w:sz w:val="28"/>
                <w:szCs w:val="28"/>
              </w:rPr>
            </w:pPr>
            <w:r w:rsidRPr="007A0036">
              <w:rPr>
                <w:b/>
                <w:sz w:val="28"/>
                <w:szCs w:val="28"/>
              </w:rPr>
              <w:t>Date</w:t>
            </w:r>
          </w:p>
        </w:tc>
        <w:tc>
          <w:tcPr>
            <w:tcW w:w="3384" w:type="dxa"/>
            <w:shd w:val="clear" w:color="auto" w:fill="D9D9D9"/>
          </w:tcPr>
          <w:p w:rsidR="00C864BA" w:rsidRPr="007A0036" w:rsidRDefault="00C864BA" w:rsidP="00D71445">
            <w:pPr>
              <w:jc w:val="center"/>
              <w:rPr>
                <w:b/>
                <w:sz w:val="28"/>
                <w:szCs w:val="28"/>
              </w:rPr>
            </w:pPr>
            <w:r w:rsidRPr="007A0036">
              <w:rPr>
                <w:b/>
                <w:sz w:val="28"/>
                <w:szCs w:val="28"/>
              </w:rPr>
              <w:t>Location</w:t>
            </w:r>
          </w:p>
        </w:tc>
        <w:tc>
          <w:tcPr>
            <w:tcW w:w="3384" w:type="dxa"/>
            <w:shd w:val="clear" w:color="auto" w:fill="D9D9D9"/>
          </w:tcPr>
          <w:p w:rsidR="00C864BA" w:rsidRPr="007A0036" w:rsidRDefault="00C864BA" w:rsidP="00D71445">
            <w:pPr>
              <w:jc w:val="center"/>
              <w:rPr>
                <w:b/>
                <w:sz w:val="28"/>
                <w:szCs w:val="28"/>
              </w:rPr>
            </w:pPr>
            <w:r w:rsidRPr="007A0036">
              <w:rPr>
                <w:b/>
                <w:sz w:val="28"/>
                <w:szCs w:val="28"/>
              </w:rPr>
              <w:t>Time</w:t>
            </w:r>
          </w:p>
        </w:tc>
      </w:tr>
      <w:tr w:rsidR="00C864BA" w:rsidRPr="007A0036" w:rsidTr="00D71445">
        <w:tc>
          <w:tcPr>
            <w:tcW w:w="3384" w:type="dxa"/>
            <w:vAlign w:val="center"/>
          </w:tcPr>
          <w:p w:rsidR="00C864BA" w:rsidRPr="00FC4531" w:rsidRDefault="00C864BA" w:rsidP="00D71445">
            <w:pPr>
              <w:jc w:val="center"/>
            </w:pPr>
            <w:r>
              <w:t>October 11, 2011</w:t>
            </w:r>
          </w:p>
        </w:tc>
        <w:tc>
          <w:tcPr>
            <w:tcW w:w="3384" w:type="dxa"/>
            <w:vAlign w:val="center"/>
          </w:tcPr>
          <w:p w:rsidR="00C864BA" w:rsidRDefault="008E51AC" w:rsidP="00D71445">
            <w:pPr>
              <w:jc w:val="center"/>
            </w:pPr>
            <w:r>
              <w:t>Claiborne</w:t>
            </w:r>
            <w:r w:rsidR="00C864BA">
              <w:t xml:space="preserve"> Building</w:t>
            </w:r>
          </w:p>
          <w:p w:rsidR="00C864BA" w:rsidRDefault="00C864BA" w:rsidP="00D71445">
            <w:pPr>
              <w:jc w:val="center"/>
            </w:pPr>
            <w:r>
              <w:t xml:space="preserve">Thomas Jefferson Room </w:t>
            </w:r>
          </w:p>
          <w:p w:rsidR="00C864BA" w:rsidRDefault="00C864BA" w:rsidP="00D71445">
            <w:pPr>
              <w:jc w:val="center"/>
            </w:pPr>
            <w:r>
              <w:t>Room # 1-136A</w:t>
            </w:r>
            <w:r w:rsidR="008E51AC">
              <w:t xml:space="preserve"> &amp; </w:t>
            </w:r>
            <w:r>
              <w:t xml:space="preserve">B </w:t>
            </w:r>
          </w:p>
          <w:p w:rsidR="00C864BA" w:rsidRDefault="00C864BA" w:rsidP="00D71445">
            <w:pPr>
              <w:jc w:val="center"/>
            </w:pPr>
            <w:r>
              <w:t>1201 N. 3</w:t>
            </w:r>
            <w:r w:rsidRPr="007A0036">
              <w:rPr>
                <w:vertAlign w:val="superscript"/>
              </w:rPr>
              <w:t>rd</w:t>
            </w:r>
            <w:r>
              <w:t xml:space="preserve"> Street</w:t>
            </w:r>
          </w:p>
          <w:p w:rsidR="00C864BA" w:rsidRPr="00FC4531" w:rsidRDefault="00C864BA" w:rsidP="00D71445">
            <w:pPr>
              <w:jc w:val="center"/>
            </w:pPr>
            <w:r>
              <w:t xml:space="preserve">Baton Rouge, LA  </w:t>
            </w:r>
          </w:p>
        </w:tc>
        <w:tc>
          <w:tcPr>
            <w:tcW w:w="3384" w:type="dxa"/>
            <w:vAlign w:val="center"/>
          </w:tcPr>
          <w:p w:rsidR="00C864BA" w:rsidRPr="00FC4531" w:rsidRDefault="00C864BA" w:rsidP="00D71445">
            <w:pPr>
              <w:jc w:val="center"/>
            </w:pPr>
            <w:r>
              <w:t>9 a.m. – 12 Noon</w:t>
            </w:r>
          </w:p>
        </w:tc>
      </w:tr>
    </w:tbl>
    <w:p w:rsidR="00C864BA" w:rsidRDefault="00C864BA" w:rsidP="00C864BA">
      <w:pPr>
        <w:ind w:firstLine="720"/>
        <w:rPr>
          <w:b/>
        </w:rPr>
      </w:pPr>
    </w:p>
    <w:p w:rsidR="00E861B3" w:rsidRDefault="00E861B3" w:rsidP="00524081">
      <w:pPr>
        <w:rPr>
          <w:b/>
        </w:rPr>
      </w:pPr>
    </w:p>
    <w:sectPr w:rsidR="00E861B3" w:rsidSect="00A6376E">
      <w:pgSz w:w="12240" w:h="15840" w:code="1"/>
      <w:pgMar w:top="1008" w:right="1008" w:bottom="864"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9A" w:rsidRDefault="00E9229A">
      <w:r>
        <w:separator/>
      </w:r>
    </w:p>
  </w:endnote>
  <w:endnote w:type="continuationSeparator" w:id="0">
    <w:p w:rsidR="00E9229A" w:rsidRDefault="00E92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9A" w:rsidRDefault="00E9229A">
      <w:r>
        <w:separator/>
      </w:r>
    </w:p>
  </w:footnote>
  <w:footnote w:type="continuationSeparator" w:id="0">
    <w:p w:rsidR="00E9229A" w:rsidRDefault="00E92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FD9"/>
    <w:multiLevelType w:val="hybridMultilevel"/>
    <w:tmpl w:val="2290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87A90"/>
    <w:multiLevelType w:val="hybridMultilevel"/>
    <w:tmpl w:val="08866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C5314"/>
    <w:multiLevelType w:val="hybridMultilevel"/>
    <w:tmpl w:val="CEC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444E6"/>
    <w:multiLevelType w:val="hybridMultilevel"/>
    <w:tmpl w:val="D452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7113E7"/>
    <w:multiLevelType w:val="hybridMultilevel"/>
    <w:tmpl w:val="87B8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10C96"/>
    <w:multiLevelType w:val="hybridMultilevel"/>
    <w:tmpl w:val="1FECF6F4"/>
    <w:lvl w:ilvl="0" w:tplc="A65E0420">
      <w:start w:val="1"/>
      <w:numFmt w:val="bullet"/>
      <w:lvlText w:val="•"/>
      <w:lvlJc w:val="left"/>
      <w:pPr>
        <w:tabs>
          <w:tab w:val="num" w:pos="720"/>
        </w:tabs>
        <w:ind w:left="720" w:hanging="360"/>
      </w:pPr>
      <w:rPr>
        <w:rFonts w:ascii="Tahoma" w:hAnsi="Tahoma" w:hint="default"/>
      </w:rPr>
    </w:lvl>
    <w:lvl w:ilvl="1" w:tplc="93C8F582" w:tentative="1">
      <w:start w:val="1"/>
      <w:numFmt w:val="bullet"/>
      <w:lvlText w:val="•"/>
      <w:lvlJc w:val="left"/>
      <w:pPr>
        <w:tabs>
          <w:tab w:val="num" w:pos="1440"/>
        </w:tabs>
        <w:ind w:left="1440" w:hanging="360"/>
      </w:pPr>
      <w:rPr>
        <w:rFonts w:ascii="Tahoma" w:hAnsi="Tahoma" w:hint="default"/>
      </w:rPr>
    </w:lvl>
    <w:lvl w:ilvl="2" w:tplc="0CD81FFA" w:tentative="1">
      <w:start w:val="1"/>
      <w:numFmt w:val="bullet"/>
      <w:lvlText w:val="•"/>
      <w:lvlJc w:val="left"/>
      <w:pPr>
        <w:tabs>
          <w:tab w:val="num" w:pos="2160"/>
        </w:tabs>
        <w:ind w:left="2160" w:hanging="360"/>
      </w:pPr>
      <w:rPr>
        <w:rFonts w:ascii="Tahoma" w:hAnsi="Tahoma" w:hint="default"/>
      </w:rPr>
    </w:lvl>
    <w:lvl w:ilvl="3" w:tplc="FC921558" w:tentative="1">
      <w:start w:val="1"/>
      <w:numFmt w:val="bullet"/>
      <w:lvlText w:val="•"/>
      <w:lvlJc w:val="left"/>
      <w:pPr>
        <w:tabs>
          <w:tab w:val="num" w:pos="2880"/>
        </w:tabs>
        <w:ind w:left="2880" w:hanging="360"/>
      </w:pPr>
      <w:rPr>
        <w:rFonts w:ascii="Tahoma" w:hAnsi="Tahoma" w:hint="default"/>
      </w:rPr>
    </w:lvl>
    <w:lvl w:ilvl="4" w:tplc="43161F2C" w:tentative="1">
      <w:start w:val="1"/>
      <w:numFmt w:val="bullet"/>
      <w:lvlText w:val="•"/>
      <w:lvlJc w:val="left"/>
      <w:pPr>
        <w:tabs>
          <w:tab w:val="num" w:pos="3600"/>
        </w:tabs>
        <w:ind w:left="3600" w:hanging="360"/>
      </w:pPr>
      <w:rPr>
        <w:rFonts w:ascii="Tahoma" w:hAnsi="Tahoma" w:hint="default"/>
      </w:rPr>
    </w:lvl>
    <w:lvl w:ilvl="5" w:tplc="460C9FE6" w:tentative="1">
      <w:start w:val="1"/>
      <w:numFmt w:val="bullet"/>
      <w:lvlText w:val="•"/>
      <w:lvlJc w:val="left"/>
      <w:pPr>
        <w:tabs>
          <w:tab w:val="num" w:pos="4320"/>
        </w:tabs>
        <w:ind w:left="4320" w:hanging="360"/>
      </w:pPr>
      <w:rPr>
        <w:rFonts w:ascii="Tahoma" w:hAnsi="Tahoma" w:hint="default"/>
      </w:rPr>
    </w:lvl>
    <w:lvl w:ilvl="6" w:tplc="E584BE28" w:tentative="1">
      <w:start w:val="1"/>
      <w:numFmt w:val="bullet"/>
      <w:lvlText w:val="•"/>
      <w:lvlJc w:val="left"/>
      <w:pPr>
        <w:tabs>
          <w:tab w:val="num" w:pos="5040"/>
        </w:tabs>
        <w:ind w:left="5040" w:hanging="360"/>
      </w:pPr>
      <w:rPr>
        <w:rFonts w:ascii="Tahoma" w:hAnsi="Tahoma" w:hint="default"/>
      </w:rPr>
    </w:lvl>
    <w:lvl w:ilvl="7" w:tplc="9720445C" w:tentative="1">
      <w:start w:val="1"/>
      <w:numFmt w:val="bullet"/>
      <w:lvlText w:val="•"/>
      <w:lvlJc w:val="left"/>
      <w:pPr>
        <w:tabs>
          <w:tab w:val="num" w:pos="5760"/>
        </w:tabs>
        <w:ind w:left="5760" w:hanging="360"/>
      </w:pPr>
      <w:rPr>
        <w:rFonts w:ascii="Tahoma" w:hAnsi="Tahoma" w:hint="default"/>
      </w:rPr>
    </w:lvl>
    <w:lvl w:ilvl="8" w:tplc="1158D064" w:tentative="1">
      <w:start w:val="1"/>
      <w:numFmt w:val="bullet"/>
      <w:lvlText w:val="•"/>
      <w:lvlJc w:val="left"/>
      <w:pPr>
        <w:tabs>
          <w:tab w:val="num" w:pos="6480"/>
        </w:tabs>
        <w:ind w:left="6480" w:hanging="360"/>
      </w:pPr>
      <w:rPr>
        <w:rFonts w:ascii="Tahoma" w:hAnsi="Tahoma" w:hint="default"/>
      </w:rPr>
    </w:lvl>
  </w:abstractNum>
  <w:abstractNum w:abstractNumId="6">
    <w:nsid w:val="533B3398"/>
    <w:multiLevelType w:val="hybridMultilevel"/>
    <w:tmpl w:val="0C4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A615D"/>
    <w:multiLevelType w:val="multilevel"/>
    <w:tmpl w:val="0C3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12961"/>
    <w:multiLevelType w:val="hybridMultilevel"/>
    <w:tmpl w:val="72C4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3254B6"/>
    <w:rsid w:val="00001382"/>
    <w:rsid w:val="00007579"/>
    <w:rsid w:val="00010852"/>
    <w:rsid w:val="00020593"/>
    <w:rsid w:val="00025ECC"/>
    <w:rsid w:val="00042751"/>
    <w:rsid w:val="00060AA6"/>
    <w:rsid w:val="00061422"/>
    <w:rsid w:val="000673BD"/>
    <w:rsid w:val="0007168B"/>
    <w:rsid w:val="000868AA"/>
    <w:rsid w:val="00094497"/>
    <w:rsid w:val="000A384C"/>
    <w:rsid w:val="000C5447"/>
    <w:rsid w:val="000D1C33"/>
    <w:rsid w:val="000E6B43"/>
    <w:rsid w:val="000F35C5"/>
    <w:rsid w:val="000F5A55"/>
    <w:rsid w:val="0010129D"/>
    <w:rsid w:val="00101FD9"/>
    <w:rsid w:val="00107D85"/>
    <w:rsid w:val="00110DB6"/>
    <w:rsid w:val="00130B83"/>
    <w:rsid w:val="001311B7"/>
    <w:rsid w:val="00155BD8"/>
    <w:rsid w:val="00170950"/>
    <w:rsid w:val="001720E2"/>
    <w:rsid w:val="001732C2"/>
    <w:rsid w:val="001772CF"/>
    <w:rsid w:val="00186285"/>
    <w:rsid w:val="00190683"/>
    <w:rsid w:val="00191DFC"/>
    <w:rsid w:val="001926A0"/>
    <w:rsid w:val="00197E28"/>
    <w:rsid w:val="001D7BA9"/>
    <w:rsid w:val="0021481A"/>
    <w:rsid w:val="002150F9"/>
    <w:rsid w:val="0021561A"/>
    <w:rsid w:val="00223306"/>
    <w:rsid w:val="00225F52"/>
    <w:rsid w:val="00227AE7"/>
    <w:rsid w:val="00237EAE"/>
    <w:rsid w:val="00256A9D"/>
    <w:rsid w:val="00262E9E"/>
    <w:rsid w:val="00283169"/>
    <w:rsid w:val="00284F00"/>
    <w:rsid w:val="00293441"/>
    <w:rsid w:val="002A22E2"/>
    <w:rsid w:val="002B179E"/>
    <w:rsid w:val="002F4587"/>
    <w:rsid w:val="002F5A79"/>
    <w:rsid w:val="00304035"/>
    <w:rsid w:val="00304CDB"/>
    <w:rsid w:val="00306534"/>
    <w:rsid w:val="00316B85"/>
    <w:rsid w:val="003254B6"/>
    <w:rsid w:val="00331F2B"/>
    <w:rsid w:val="003372D9"/>
    <w:rsid w:val="003463DA"/>
    <w:rsid w:val="00351F02"/>
    <w:rsid w:val="003523ED"/>
    <w:rsid w:val="00353060"/>
    <w:rsid w:val="00362FE5"/>
    <w:rsid w:val="00373A5D"/>
    <w:rsid w:val="003807A2"/>
    <w:rsid w:val="00395800"/>
    <w:rsid w:val="003C25BB"/>
    <w:rsid w:val="003D5958"/>
    <w:rsid w:val="003F16A9"/>
    <w:rsid w:val="003F7A4C"/>
    <w:rsid w:val="0041170A"/>
    <w:rsid w:val="00421481"/>
    <w:rsid w:val="00423B7D"/>
    <w:rsid w:val="0043559A"/>
    <w:rsid w:val="004445F6"/>
    <w:rsid w:val="0044490C"/>
    <w:rsid w:val="00444B44"/>
    <w:rsid w:val="00453D93"/>
    <w:rsid w:val="00455F79"/>
    <w:rsid w:val="0045747D"/>
    <w:rsid w:val="00490453"/>
    <w:rsid w:val="00497C42"/>
    <w:rsid w:val="004A0B28"/>
    <w:rsid w:val="004A5E49"/>
    <w:rsid w:val="004B35FB"/>
    <w:rsid w:val="004D170C"/>
    <w:rsid w:val="004E1AEB"/>
    <w:rsid w:val="004E3AF4"/>
    <w:rsid w:val="004F4026"/>
    <w:rsid w:val="005018DD"/>
    <w:rsid w:val="0050459B"/>
    <w:rsid w:val="0050703C"/>
    <w:rsid w:val="00516314"/>
    <w:rsid w:val="00524081"/>
    <w:rsid w:val="005279C5"/>
    <w:rsid w:val="00533B88"/>
    <w:rsid w:val="00542C70"/>
    <w:rsid w:val="00547CD1"/>
    <w:rsid w:val="00575201"/>
    <w:rsid w:val="00597373"/>
    <w:rsid w:val="005B766D"/>
    <w:rsid w:val="005C06E2"/>
    <w:rsid w:val="005C6D85"/>
    <w:rsid w:val="005C7E4B"/>
    <w:rsid w:val="005E2595"/>
    <w:rsid w:val="005E3167"/>
    <w:rsid w:val="00632FE3"/>
    <w:rsid w:val="0063441E"/>
    <w:rsid w:val="0063789E"/>
    <w:rsid w:val="00650FAB"/>
    <w:rsid w:val="006560E2"/>
    <w:rsid w:val="006577B3"/>
    <w:rsid w:val="0067328F"/>
    <w:rsid w:val="006A5E11"/>
    <w:rsid w:val="006B1391"/>
    <w:rsid w:val="006C41C6"/>
    <w:rsid w:val="006D1223"/>
    <w:rsid w:val="006D359C"/>
    <w:rsid w:val="006D5766"/>
    <w:rsid w:val="006D5916"/>
    <w:rsid w:val="006E4433"/>
    <w:rsid w:val="006E6027"/>
    <w:rsid w:val="006F4B21"/>
    <w:rsid w:val="0070388D"/>
    <w:rsid w:val="00710539"/>
    <w:rsid w:val="00722BCD"/>
    <w:rsid w:val="007365E0"/>
    <w:rsid w:val="00742D86"/>
    <w:rsid w:val="00754D6C"/>
    <w:rsid w:val="00757B00"/>
    <w:rsid w:val="007613D0"/>
    <w:rsid w:val="00762556"/>
    <w:rsid w:val="00770C99"/>
    <w:rsid w:val="007751A8"/>
    <w:rsid w:val="007868A7"/>
    <w:rsid w:val="00790E46"/>
    <w:rsid w:val="00792165"/>
    <w:rsid w:val="00794B85"/>
    <w:rsid w:val="007A0036"/>
    <w:rsid w:val="007A4662"/>
    <w:rsid w:val="007C06DF"/>
    <w:rsid w:val="007C1584"/>
    <w:rsid w:val="007C45A7"/>
    <w:rsid w:val="007D2FEE"/>
    <w:rsid w:val="007E0C72"/>
    <w:rsid w:val="007E7C4E"/>
    <w:rsid w:val="007F3DB6"/>
    <w:rsid w:val="007F7DDC"/>
    <w:rsid w:val="008040B5"/>
    <w:rsid w:val="0080416B"/>
    <w:rsid w:val="00814823"/>
    <w:rsid w:val="0081782C"/>
    <w:rsid w:val="00836E8F"/>
    <w:rsid w:val="00842A68"/>
    <w:rsid w:val="00876F01"/>
    <w:rsid w:val="0089253B"/>
    <w:rsid w:val="00893F99"/>
    <w:rsid w:val="008A0378"/>
    <w:rsid w:val="008A0D84"/>
    <w:rsid w:val="008B1797"/>
    <w:rsid w:val="008B68DC"/>
    <w:rsid w:val="008B7F37"/>
    <w:rsid w:val="008D79EB"/>
    <w:rsid w:val="008E4F2E"/>
    <w:rsid w:val="008E51AC"/>
    <w:rsid w:val="00936FB5"/>
    <w:rsid w:val="00942A72"/>
    <w:rsid w:val="00960251"/>
    <w:rsid w:val="00963963"/>
    <w:rsid w:val="00965A98"/>
    <w:rsid w:val="009850BC"/>
    <w:rsid w:val="00986D1D"/>
    <w:rsid w:val="00993F56"/>
    <w:rsid w:val="00997207"/>
    <w:rsid w:val="009A2663"/>
    <w:rsid w:val="009A4543"/>
    <w:rsid w:val="009B13A7"/>
    <w:rsid w:val="009B1CA7"/>
    <w:rsid w:val="00A05346"/>
    <w:rsid w:val="00A058FD"/>
    <w:rsid w:val="00A06CFF"/>
    <w:rsid w:val="00A129FA"/>
    <w:rsid w:val="00A17420"/>
    <w:rsid w:val="00A17C49"/>
    <w:rsid w:val="00A305C3"/>
    <w:rsid w:val="00A34705"/>
    <w:rsid w:val="00A50277"/>
    <w:rsid w:val="00A61093"/>
    <w:rsid w:val="00A6376E"/>
    <w:rsid w:val="00A75DC6"/>
    <w:rsid w:val="00A80D05"/>
    <w:rsid w:val="00A93D8D"/>
    <w:rsid w:val="00A96FCB"/>
    <w:rsid w:val="00AA1F96"/>
    <w:rsid w:val="00AC10DC"/>
    <w:rsid w:val="00AC5288"/>
    <w:rsid w:val="00AC7C43"/>
    <w:rsid w:val="00AE79DB"/>
    <w:rsid w:val="00AF26AD"/>
    <w:rsid w:val="00AF3643"/>
    <w:rsid w:val="00AF6855"/>
    <w:rsid w:val="00B05362"/>
    <w:rsid w:val="00B07654"/>
    <w:rsid w:val="00B21676"/>
    <w:rsid w:val="00B21A9C"/>
    <w:rsid w:val="00B23C0B"/>
    <w:rsid w:val="00B259C6"/>
    <w:rsid w:val="00B63800"/>
    <w:rsid w:val="00B64650"/>
    <w:rsid w:val="00B702CE"/>
    <w:rsid w:val="00B72692"/>
    <w:rsid w:val="00B7786D"/>
    <w:rsid w:val="00BA6746"/>
    <w:rsid w:val="00BA7B3F"/>
    <w:rsid w:val="00BC7C08"/>
    <w:rsid w:val="00BD7459"/>
    <w:rsid w:val="00BE294E"/>
    <w:rsid w:val="00BF77AF"/>
    <w:rsid w:val="00C002D5"/>
    <w:rsid w:val="00C038D2"/>
    <w:rsid w:val="00C076C7"/>
    <w:rsid w:val="00C26988"/>
    <w:rsid w:val="00C31412"/>
    <w:rsid w:val="00C314E0"/>
    <w:rsid w:val="00C50E60"/>
    <w:rsid w:val="00C5115C"/>
    <w:rsid w:val="00C5361B"/>
    <w:rsid w:val="00C62FEC"/>
    <w:rsid w:val="00C83DD4"/>
    <w:rsid w:val="00C84003"/>
    <w:rsid w:val="00C856C8"/>
    <w:rsid w:val="00C864BA"/>
    <w:rsid w:val="00C936B6"/>
    <w:rsid w:val="00C96209"/>
    <w:rsid w:val="00CB2E29"/>
    <w:rsid w:val="00CC56DA"/>
    <w:rsid w:val="00CD2403"/>
    <w:rsid w:val="00CD5B86"/>
    <w:rsid w:val="00CE23D3"/>
    <w:rsid w:val="00D0608C"/>
    <w:rsid w:val="00D060BF"/>
    <w:rsid w:val="00D12054"/>
    <w:rsid w:val="00D132D6"/>
    <w:rsid w:val="00D31029"/>
    <w:rsid w:val="00D57F94"/>
    <w:rsid w:val="00D61416"/>
    <w:rsid w:val="00D71445"/>
    <w:rsid w:val="00D84DEE"/>
    <w:rsid w:val="00D86A6E"/>
    <w:rsid w:val="00D9375C"/>
    <w:rsid w:val="00DA3447"/>
    <w:rsid w:val="00DC41AD"/>
    <w:rsid w:val="00DD2CB1"/>
    <w:rsid w:val="00DD4EA2"/>
    <w:rsid w:val="00DE72E4"/>
    <w:rsid w:val="00DF030E"/>
    <w:rsid w:val="00DF18FF"/>
    <w:rsid w:val="00E0745B"/>
    <w:rsid w:val="00E12466"/>
    <w:rsid w:val="00E14AE7"/>
    <w:rsid w:val="00E14F1D"/>
    <w:rsid w:val="00E25FD4"/>
    <w:rsid w:val="00E3383D"/>
    <w:rsid w:val="00E435FA"/>
    <w:rsid w:val="00E60A9A"/>
    <w:rsid w:val="00E60CA0"/>
    <w:rsid w:val="00E7427D"/>
    <w:rsid w:val="00E81BD9"/>
    <w:rsid w:val="00E841AB"/>
    <w:rsid w:val="00E861B3"/>
    <w:rsid w:val="00E9229A"/>
    <w:rsid w:val="00E95747"/>
    <w:rsid w:val="00E95865"/>
    <w:rsid w:val="00E97905"/>
    <w:rsid w:val="00EA719A"/>
    <w:rsid w:val="00EA7F43"/>
    <w:rsid w:val="00EB0146"/>
    <w:rsid w:val="00EB3972"/>
    <w:rsid w:val="00EE515C"/>
    <w:rsid w:val="00F1231A"/>
    <w:rsid w:val="00F22E2D"/>
    <w:rsid w:val="00F264C9"/>
    <w:rsid w:val="00F41C6E"/>
    <w:rsid w:val="00F434B2"/>
    <w:rsid w:val="00F5555E"/>
    <w:rsid w:val="00F55D78"/>
    <w:rsid w:val="00F60658"/>
    <w:rsid w:val="00F710C7"/>
    <w:rsid w:val="00F76357"/>
    <w:rsid w:val="00F87AE6"/>
    <w:rsid w:val="00FA2B40"/>
    <w:rsid w:val="00FB05A4"/>
    <w:rsid w:val="00FB264D"/>
    <w:rsid w:val="00FC4531"/>
    <w:rsid w:val="00FE6DD5"/>
    <w:rsid w:val="00FF660F"/>
    <w:rsid w:val="00FF7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semiHidden/>
    <w:rsid w:val="00F5555E"/>
    <w:rPr>
      <w:rFonts w:ascii="Tahoma" w:hAnsi="Tahoma" w:cs="Tahoma"/>
      <w:sz w:val="16"/>
      <w:szCs w:val="16"/>
    </w:rPr>
  </w:style>
  <w:style w:type="paragraph" w:styleId="Header">
    <w:name w:val="header"/>
    <w:basedOn w:val="Normal"/>
    <w:link w:val="HeaderChar"/>
    <w:uiPriority w:val="99"/>
    <w:rsid w:val="00010852"/>
    <w:pPr>
      <w:tabs>
        <w:tab w:val="center" w:pos="4320"/>
        <w:tab w:val="right" w:pos="8640"/>
      </w:tabs>
    </w:pPr>
  </w:style>
  <w:style w:type="paragraph" w:styleId="Footer">
    <w:name w:val="footer"/>
    <w:basedOn w:val="Normal"/>
    <w:rsid w:val="00010852"/>
    <w:pPr>
      <w:tabs>
        <w:tab w:val="center" w:pos="4320"/>
        <w:tab w:val="right" w:pos="8640"/>
      </w:tabs>
    </w:pPr>
  </w:style>
  <w:style w:type="paragraph" w:styleId="Revision">
    <w:name w:val="Revision"/>
    <w:hidden/>
    <w:uiPriority w:val="99"/>
    <w:semiHidden/>
    <w:rsid w:val="00490453"/>
    <w:rPr>
      <w:sz w:val="24"/>
      <w:szCs w:val="24"/>
    </w:rPr>
  </w:style>
  <w:style w:type="character" w:customStyle="1" w:styleId="Heading3Char">
    <w:name w:val="Heading 3 Char"/>
    <w:basedOn w:val="DefaultParagraphFont"/>
    <w:link w:val="Heading3"/>
    <w:rsid w:val="00331F2B"/>
    <w:rPr>
      <w:rFonts w:ascii="Cambria" w:eastAsia="Times New Roman" w:hAnsi="Cambria" w:cs="Times New Roman"/>
      <w:b/>
      <w:bCs/>
      <w:sz w:val="26"/>
      <w:szCs w:val="26"/>
    </w:rPr>
  </w:style>
  <w:style w:type="character" w:customStyle="1" w:styleId="Heading1Char">
    <w:name w:val="Heading 1 Char"/>
    <w:basedOn w:val="DefaultParagraphFont"/>
    <w:link w:val="Heading1"/>
    <w:rsid w:val="00331F2B"/>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0F5A55"/>
    <w:rPr>
      <w:sz w:val="24"/>
      <w:szCs w:val="24"/>
    </w:rPr>
  </w:style>
  <w:style w:type="table" w:styleId="TableGrid">
    <w:name w:val="Table Grid"/>
    <w:basedOn w:val="TableNormal"/>
    <w:rsid w:val="006D59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14F1D"/>
    <w:pPr>
      <w:ind w:left="720"/>
      <w:contextualSpacing/>
    </w:pPr>
  </w:style>
  <w:style w:type="character" w:customStyle="1" w:styleId="Heading2Char">
    <w:name w:val="Heading 2 Char"/>
    <w:basedOn w:val="DefaultParagraphFont"/>
    <w:link w:val="Heading2"/>
    <w:uiPriority w:val="9"/>
    <w:rsid w:val="00C864BA"/>
    <w:rPr>
      <w:b/>
      <w:bCs/>
      <w:iCs/>
      <w:sz w:val="32"/>
      <w:szCs w:val="32"/>
    </w:rPr>
  </w:style>
</w:styles>
</file>

<file path=word/webSettings.xml><?xml version="1.0" encoding="utf-8"?>
<w:webSettings xmlns:r="http://schemas.openxmlformats.org/officeDocument/2006/relationships" xmlns:w="http://schemas.openxmlformats.org/wordprocessingml/2006/main">
  <w:divs>
    <w:div w:id="287859210">
      <w:bodyDiv w:val="1"/>
      <w:marLeft w:val="0"/>
      <w:marRight w:val="0"/>
      <w:marTop w:val="0"/>
      <w:marBottom w:val="0"/>
      <w:divBdr>
        <w:top w:val="none" w:sz="0" w:space="0" w:color="auto"/>
        <w:left w:val="none" w:sz="0" w:space="0" w:color="auto"/>
        <w:bottom w:val="none" w:sz="0" w:space="0" w:color="auto"/>
        <w:right w:val="none" w:sz="0" w:space="0" w:color="auto"/>
      </w:divBdr>
      <w:divsChild>
        <w:div w:id="148182104">
          <w:marLeft w:val="547"/>
          <w:marRight w:val="0"/>
          <w:marTop w:val="134"/>
          <w:marBottom w:val="0"/>
          <w:divBdr>
            <w:top w:val="none" w:sz="0" w:space="0" w:color="auto"/>
            <w:left w:val="none" w:sz="0" w:space="0" w:color="auto"/>
            <w:bottom w:val="none" w:sz="0" w:space="0" w:color="auto"/>
            <w:right w:val="none" w:sz="0" w:space="0" w:color="auto"/>
          </w:divBdr>
        </w:div>
        <w:div w:id="401029201">
          <w:marLeft w:val="547"/>
          <w:marRight w:val="0"/>
          <w:marTop w:val="134"/>
          <w:marBottom w:val="0"/>
          <w:divBdr>
            <w:top w:val="none" w:sz="0" w:space="0" w:color="auto"/>
            <w:left w:val="none" w:sz="0" w:space="0" w:color="auto"/>
            <w:bottom w:val="none" w:sz="0" w:space="0" w:color="auto"/>
            <w:right w:val="none" w:sz="0" w:space="0" w:color="auto"/>
          </w:divBdr>
        </w:div>
        <w:div w:id="452409638">
          <w:marLeft w:val="547"/>
          <w:marRight w:val="0"/>
          <w:marTop w:val="134"/>
          <w:marBottom w:val="0"/>
          <w:divBdr>
            <w:top w:val="none" w:sz="0" w:space="0" w:color="auto"/>
            <w:left w:val="none" w:sz="0" w:space="0" w:color="auto"/>
            <w:bottom w:val="none" w:sz="0" w:space="0" w:color="auto"/>
            <w:right w:val="none" w:sz="0" w:space="0" w:color="auto"/>
          </w:divBdr>
        </w:div>
        <w:div w:id="1183088331">
          <w:marLeft w:val="547"/>
          <w:marRight w:val="0"/>
          <w:marTop w:val="134"/>
          <w:marBottom w:val="0"/>
          <w:divBdr>
            <w:top w:val="none" w:sz="0" w:space="0" w:color="auto"/>
            <w:left w:val="none" w:sz="0" w:space="0" w:color="auto"/>
            <w:bottom w:val="none" w:sz="0" w:space="0" w:color="auto"/>
            <w:right w:val="none" w:sz="0" w:space="0" w:color="auto"/>
          </w:divBdr>
        </w:div>
        <w:div w:id="1399401512">
          <w:marLeft w:val="547"/>
          <w:marRight w:val="0"/>
          <w:marTop w:val="134"/>
          <w:marBottom w:val="0"/>
          <w:divBdr>
            <w:top w:val="none" w:sz="0" w:space="0" w:color="auto"/>
            <w:left w:val="none" w:sz="0" w:space="0" w:color="auto"/>
            <w:bottom w:val="none" w:sz="0" w:space="0" w:color="auto"/>
            <w:right w:val="none" w:sz="0" w:space="0" w:color="auto"/>
          </w:divBdr>
        </w:div>
        <w:div w:id="2096590701">
          <w:marLeft w:val="547"/>
          <w:marRight w:val="0"/>
          <w:marTop w:val="134"/>
          <w:marBottom w:val="0"/>
          <w:divBdr>
            <w:top w:val="none" w:sz="0" w:space="0" w:color="auto"/>
            <w:left w:val="none" w:sz="0" w:space="0" w:color="auto"/>
            <w:bottom w:val="none" w:sz="0" w:space="0" w:color="auto"/>
            <w:right w:val="none" w:sz="0" w:space="0" w:color="auto"/>
          </w:divBdr>
        </w:div>
      </w:divsChild>
    </w:div>
    <w:div w:id="311327257">
      <w:bodyDiv w:val="1"/>
      <w:marLeft w:val="0"/>
      <w:marRight w:val="0"/>
      <w:marTop w:val="0"/>
      <w:marBottom w:val="0"/>
      <w:divBdr>
        <w:top w:val="none" w:sz="0" w:space="0" w:color="auto"/>
        <w:left w:val="none" w:sz="0" w:space="0" w:color="auto"/>
        <w:bottom w:val="none" w:sz="0" w:space="0" w:color="auto"/>
        <w:right w:val="none" w:sz="0" w:space="0" w:color="auto"/>
      </w:divBdr>
    </w:div>
    <w:div w:id="660740566">
      <w:bodyDiv w:val="1"/>
      <w:marLeft w:val="0"/>
      <w:marRight w:val="0"/>
      <w:marTop w:val="0"/>
      <w:marBottom w:val="0"/>
      <w:divBdr>
        <w:top w:val="none" w:sz="0" w:space="0" w:color="auto"/>
        <w:left w:val="none" w:sz="0" w:space="0" w:color="auto"/>
        <w:bottom w:val="none" w:sz="0" w:space="0" w:color="auto"/>
        <w:right w:val="none" w:sz="0" w:space="0" w:color="auto"/>
      </w:divBdr>
      <w:divsChild>
        <w:div w:id="124206529">
          <w:marLeft w:val="0"/>
          <w:marRight w:val="0"/>
          <w:marTop w:val="0"/>
          <w:marBottom w:val="0"/>
          <w:divBdr>
            <w:top w:val="none" w:sz="0" w:space="0" w:color="auto"/>
            <w:left w:val="none" w:sz="0" w:space="0" w:color="auto"/>
            <w:bottom w:val="none" w:sz="0" w:space="0" w:color="auto"/>
            <w:right w:val="none" w:sz="0" w:space="0" w:color="auto"/>
          </w:divBdr>
        </w:div>
      </w:divsChild>
    </w:div>
    <w:div w:id="718432387">
      <w:bodyDiv w:val="1"/>
      <w:marLeft w:val="0"/>
      <w:marRight w:val="0"/>
      <w:marTop w:val="0"/>
      <w:marBottom w:val="0"/>
      <w:divBdr>
        <w:top w:val="none" w:sz="0" w:space="0" w:color="auto"/>
        <w:left w:val="none" w:sz="0" w:space="0" w:color="auto"/>
        <w:bottom w:val="none" w:sz="0" w:space="0" w:color="auto"/>
        <w:right w:val="none" w:sz="0" w:space="0" w:color="auto"/>
      </w:divBdr>
    </w:div>
    <w:div w:id="1032223158">
      <w:bodyDiv w:val="1"/>
      <w:marLeft w:val="0"/>
      <w:marRight w:val="0"/>
      <w:marTop w:val="0"/>
      <w:marBottom w:val="0"/>
      <w:divBdr>
        <w:top w:val="none" w:sz="0" w:space="0" w:color="auto"/>
        <w:left w:val="none" w:sz="0" w:space="0" w:color="auto"/>
        <w:bottom w:val="none" w:sz="0" w:space="0" w:color="auto"/>
        <w:right w:val="none" w:sz="0" w:space="0" w:color="auto"/>
      </w:divBdr>
    </w:div>
    <w:div w:id="1057508454">
      <w:bodyDiv w:val="1"/>
      <w:marLeft w:val="0"/>
      <w:marRight w:val="0"/>
      <w:marTop w:val="0"/>
      <w:marBottom w:val="0"/>
      <w:divBdr>
        <w:top w:val="none" w:sz="0" w:space="0" w:color="auto"/>
        <w:left w:val="none" w:sz="0" w:space="0" w:color="auto"/>
        <w:bottom w:val="none" w:sz="0" w:space="0" w:color="auto"/>
        <w:right w:val="none" w:sz="0" w:space="0" w:color="auto"/>
      </w:divBdr>
    </w:div>
    <w:div w:id="1342271895">
      <w:bodyDiv w:val="1"/>
      <w:marLeft w:val="0"/>
      <w:marRight w:val="0"/>
      <w:marTop w:val="0"/>
      <w:marBottom w:val="0"/>
      <w:divBdr>
        <w:top w:val="none" w:sz="0" w:space="0" w:color="auto"/>
        <w:left w:val="none" w:sz="0" w:space="0" w:color="auto"/>
        <w:bottom w:val="none" w:sz="0" w:space="0" w:color="auto"/>
        <w:right w:val="none" w:sz="0" w:space="0" w:color="auto"/>
      </w:divBdr>
    </w:div>
    <w:div w:id="1569337908">
      <w:bodyDiv w:val="1"/>
      <w:marLeft w:val="0"/>
      <w:marRight w:val="0"/>
      <w:marTop w:val="0"/>
      <w:marBottom w:val="0"/>
      <w:divBdr>
        <w:top w:val="none" w:sz="0" w:space="0" w:color="auto"/>
        <w:left w:val="none" w:sz="0" w:space="0" w:color="auto"/>
        <w:bottom w:val="none" w:sz="0" w:space="0" w:color="auto"/>
        <w:right w:val="none" w:sz="0" w:space="0" w:color="auto"/>
      </w:divBdr>
    </w:div>
    <w:div w:id="1778677880">
      <w:bodyDiv w:val="1"/>
      <w:marLeft w:val="150"/>
      <w:marRight w:val="0"/>
      <w:marTop w:val="375"/>
      <w:marBottom w:val="0"/>
      <w:divBdr>
        <w:top w:val="none" w:sz="0" w:space="0" w:color="auto"/>
        <w:left w:val="none" w:sz="0" w:space="0" w:color="auto"/>
        <w:bottom w:val="none" w:sz="0" w:space="0" w:color="auto"/>
        <w:right w:val="none" w:sz="0" w:space="0" w:color="auto"/>
      </w:divBdr>
      <w:divsChild>
        <w:div w:id="944114298">
          <w:marLeft w:val="0"/>
          <w:marRight w:val="0"/>
          <w:marTop w:val="0"/>
          <w:marBottom w:val="0"/>
          <w:divBdr>
            <w:top w:val="none" w:sz="0" w:space="0" w:color="auto"/>
            <w:left w:val="none" w:sz="0" w:space="0" w:color="auto"/>
            <w:bottom w:val="none" w:sz="0" w:space="0" w:color="auto"/>
            <w:right w:val="none" w:sz="0" w:space="0" w:color="auto"/>
          </w:divBdr>
        </w:div>
      </w:divsChild>
    </w:div>
    <w:div w:id="1808862266">
      <w:bodyDiv w:val="1"/>
      <w:marLeft w:val="0"/>
      <w:marRight w:val="0"/>
      <w:marTop w:val="0"/>
      <w:marBottom w:val="0"/>
      <w:divBdr>
        <w:top w:val="none" w:sz="0" w:space="0" w:color="auto"/>
        <w:left w:val="none" w:sz="0" w:space="0" w:color="auto"/>
        <w:bottom w:val="none" w:sz="0" w:space="0" w:color="auto"/>
        <w:right w:val="none" w:sz="0" w:space="0" w:color="auto"/>
      </w:divBdr>
      <w:divsChild>
        <w:div w:id="1443379026">
          <w:marLeft w:val="0"/>
          <w:marRight w:val="0"/>
          <w:marTop w:val="0"/>
          <w:marBottom w:val="0"/>
          <w:divBdr>
            <w:top w:val="none" w:sz="0" w:space="0" w:color="auto"/>
            <w:left w:val="none" w:sz="0" w:space="0" w:color="auto"/>
            <w:bottom w:val="none" w:sz="0" w:space="0" w:color="auto"/>
            <w:right w:val="none" w:sz="0" w:space="0" w:color="auto"/>
          </w:divBdr>
          <w:divsChild>
            <w:div w:id="914705439">
              <w:marLeft w:val="0"/>
              <w:marRight w:val="0"/>
              <w:marTop w:val="0"/>
              <w:marBottom w:val="0"/>
              <w:divBdr>
                <w:top w:val="none" w:sz="0" w:space="0" w:color="auto"/>
                <w:left w:val="none" w:sz="0" w:space="0" w:color="auto"/>
                <w:bottom w:val="none" w:sz="0" w:space="0" w:color="auto"/>
                <w:right w:val="none" w:sz="0" w:space="0" w:color="auto"/>
              </w:divBdr>
              <w:divsChild>
                <w:div w:id="1832866413">
                  <w:marLeft w:val="0"/>
                  <w:marRight w:val="0"/>
                  <w:marTop w:val="0"/>
                  <w:marBottom w:val="0"/>
                  <w:divBdr>
                    <w:top w:val="none" w:sz="0" w:space="0" w:color="auto"/>
                    <w:left w:val="none" w:sz="0" w:space="0" w:color="auto"/>
                    <w:bottom w:val="none" w:sz="0" w:space="0" w:color="auto"/>
                    <w:right w:val="none" w:sz="0" w:space="0" w:color="auto"/>
                  </w:divBdr>
                  <w:divsChild>
                    <w:div w:id="81966285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F1FE-E3F2-4BB0-B0A1-0DFCB7C4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Louisiana Department of Education</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Josh Posey</dc:creator>
  <cp:keywords/>
  <dc:description/>
  <cp:lastModifiedBy>Wendy Thibodeaux</cp:lastModifiedBy>
  <cp:revision>2</cp:revision>
  <cp:lastPrinted>2010-10-07T15:30:00Z</cp:lastPrinted>
  <dcterms:created xsi:type="dcterms:W3CDTF">2011-10-07T14:36:00Z</dcterms:created>
  <dcterms:modified xsi:type="dcterms:W3CDTF">2011-10-07T14:36:00Z</dcterms:modified>
</cp:coreProperties>
</file>